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European Heritage Awards / Europa Nostra Awards 2023</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Call for Entries</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bookmarkStart w:colFirst="0" w:colLast="0" w:name="_heading=h.gjdgxs" w:id="0"/>
      <w:bookmarkEnd w:id="0"/>
      <w:r w:rsidDel="00000000" w:rsidR="00000000" w:rsidRPr="00000000">
        <w:rPr>
          <w:rtl w:val="0"/>
        </w:rPr>
        <w:t xml:space="preserve">The European Heritage Awards / Europa Nostra Awards</w:t>
      </w:r>
      <w:r w:rsidDel="00000000" w:rsidR="00000000" w:rsidRPr="00000000">
        <w:rPr>
          <w:vertAlign w:val="superscript"/>
        </w:rPr>
        <w:footnoteReference w:customMarkFollows="0" w:id="0"/>
      </w:r>
      <w:r w:rsidDel="00000000" w:rsidR="00000000" w:rsidRPr="00000000">
        <w:rPr>
          <w:rtl w:val="0"/>
        </w:rPr>
        <w:t xml:space="preserve"> aim to identify, recognise and champion best practices in the conservation of cultural heritage as well as innovative developments and knowledge in the care and promotion of tangible and intangible cultural heritage. Through the power of example, the scheme enables the exchange and transfer of experiences and skills across borders and between communities in Europe and beyond. It increases the visibility and understanding of the multiple values of cultural heritage for Europe’s society, economy, environment and culture. </w:t>
      </w:r>
    </w:p>
    <w:p w:rsidR="00000000" w:rsidDel="00000000" w:rsidP="00000000" w:rsidRDefault="00000000" w:rsidRPr="00000000" w14:paraId="00000007">
      <w:pPr>
        <w:rPr/>
      </w:pPr>
      <w:r w:rsidDel="00000000" w:rsidR="00000000" w:rsidRPr="00000000">
        <w:rPr>
          <w:rtl w:val="0"/>
        </w:rPr>
        <w:t xml:space="preserve">Outstanding heritage achievements will be awarded </w:t>
      </w:r>
      <w:r w:rsidDel="00000000" w:rsidR="00000000" w:rsidRPr="00000000">
        <w:rPr>
          <w:b w:val="1"/>
          <w:rtl w:val="0"/>
        </w:rPr>
        <w:t xml:space="preserve">in the following categories</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08">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Conservation </w:t>
      </w:r>
      <w:r w:rsidDel="00000000" w:rsidR="00000000" w:rsidRPr="00000000">
        <w:rPr>
          <w:rtl w:val="0"/>
        </w:rPr>
        <w:t xml:space="preserve">&amp;</w:t>
      </w:r>
      <w:r w:rsidDel="00000000" w:rsidR="00000000" w:rsidRPr="00000000">
        <w:rPr>
          <w:b w:val="1"/>
          <w:rtl w:val="0"/>
        </w:rPr>
        <w:t xml:space="preserve"> </w:t>
      </w:r>
      <w:r w:rsidDel="00000000" w:rsidR="00000000" w:rsidRPr="00000000">
        <w:rPr>
          <w:color w:val="000000"/>
          <w:rtl w:val="0"/>
        </w:rPr>
        <w:t xml:space="preserve">Adaptive Reuse</w:t>
      </w:r>
    </w:p>
    <w:p w:rsidR="00000000" w:rsidDel="00000000" w:rsidP="00000000" w:rsidRDefault="00000000" w:rsidRPr="00000000" w14:paraId="00000009">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Research</w:t>
      </w:r>
    </w:p>
    <w:p w:rsidR="00000000" w:rsidDel="00000000" w:rsidP="00000000" w:rsidRDefault="00000000" w:rsidRPr="00000000" w14:paraId="0000000A">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Education, Training </w:t>
      </w:r>
      <w:r w:rsidDel="00000000" w:rsidR="00000000" w:rsidRPr="00000000">
        <w:rPr>
          <w:rtl w:val="0"/>
        </w:rPr>
        <w:t xml:space="preserve">&amp;</w:t>
      </w:r>
      <w:r w:rsidDel="00000000" w:rsidR="00000000" w:rsidRPr="00000000">
        <w:rPr>
          <w:color w:val="000000"/>
          <w:rtl w:val="0"/>
        </w:rPr>
        <w:t xml:space="preserve"> Skills</w:t>
      </w:r>
    </w:p>
    <w:p w:rsidR="00000000" w:rsidDel="00000000" w:rsidP="00000000" w:rsidRDefault="00000000" w:rsidRPr="00000000" w14:paraId="0000000B">
      <w:pPr>
        <w:numPr>
          <w:ilvl w:val="0"/>
          <w:numId w:val="6"/>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Citizens Engagement </w:t>
      </w:r>
      <w:r w:rsidDel="00000000" w:rsidR="00000000" w:rsidRPr="00000000">
        <w:rPr>
          <w:rtl w:val="0"/>
        </w:rPr>
        <w:t xml:space="preserve">&amp;</w:t>
      </w:r>
      <w:r w:rsidDel="00000000" w:rsidR="00000000" w:rsidRPr="00000000">
        <w:rPr>
          <w:color w:val="000000"/>
          <w:rtl w:val="0"/>
        </w:rPr>
        <w:t xml:space="preserve"> Awareness-raising</w:t>
      </w:r>
    </w:p>
    <w:p w:rsidR="00000000" w:rsidDel="00000000" w:rsidP="00000000" w:rsidRDefault="00000000" w:rsidRPr="00000000" w14:paraId="0000000C">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Heritage Champions</w:t>
      </w:r>
    </w:p>
    <w:p w:rsidR="00000000" w:rsidDel="00000000" w:rsidP="00000000" w:rsidRDefault="00000000" w:rsidRPr="00000000" w14:paraId="0000000D">
      <w:pPr>
        <w:rPr/>
      </w:pPr>
      <w:r w:rsidDel="00000000" w:rsidR="00000000" w:rsidRPr="00000000">
        <w:rPr>
          <w:rtl w:val="0"/>
        </w:rPr>
        <w:t xml:space="preserve">Entries can be related to tangible, intangible or digital heritage. The scope of the entries can be ranging from small to large, from local to European and international.</w:t>
      </w:r>
    </w:p>
    <w:p w:rsidR="00000000" w:rsidDel="00000000" w:rsidP="00000000" w:rsidRDefault="00000000" w:rsidRPr="00000000" w14:paraId="0000000E">
      <w:pPr>
        <w:rPr>
          <w:highlight w:val="white"/>
        </w:rPr>
      </w:pPr>
      <w:r w:rsidDel="00000000" w:rsidR="00000000" w:rsidRPr="00000000">
        <w:rPr>
          <w:highlight w:val="white"/>
          <w:rtl w:val="0"/>
        </w:rPr>
        <w:t xml:space="preserve">The European Heritage Awards / Europa Nostra Awards will honour up to 30 outstanding heritage achievements, among which </w:t>
      </w:r>
      <w:r w:rsidDel="00000000" w:rsidR="00000000" w:rsidRPr="00000000">
        <w:rPr>
          <w:b w:val="1"/>
          <w:highlight w:val="white"/>
          <w:rtl w:val="0"/>
        </w:rPr>
        <w:t xml:space="preserve">up to five Grand Prix</w:t>
      </w:r>
      <w:r w:rsidDel="00000000" w:rsidR="00000000" w:rsidRPr="00000000">
        <w:rPr>
          <w:highlight w:val="white"/>
          <w:rtl w:val="0"/>
        </w:rPr>
        <w:t xml:space="preserve"> will be awarded, each with a monetary prize of €10,000. </w:t>
      </w:r>
    </w:p>
    <w:p w:rsidR="00000000" w:rsidDel="00000000" w:rsidP="00000000" w:rsidRDefault="00000000" w:rsidRPr="00000000" w14:paraId="0000000F">
      <w:pPr>
        <w:rPr>
          <w:highlight w:val="white"/>
        </w:rPr>
      </w:pPr>
      <w:bookmarkStart w:colFirst="0" w:colLast="0" w:name="_heading=h.3znysh7" w:id="1"/>
      <w:bookmarkEnd w:id="1"/>
      <w:r w:rsidDel="00000000" w:rsidR="00000000" w:rsidRPr="00000000">
        <w:rPr>
          <w:highlight w:val="white"/>
          <w:rtl w:val="0"/>
        </w:rPr>
        <w:t xml:space="preserve">In addition, the </w:t>
      </w:r>
      <w:r w:rsidDel="00000000" w:rsidR="00000000" w:rsidRPr="00000000">
        <w:rPr>
          <w:b w:val="1"/>
          <w:highlight w:val="white"/>
          <w:rtl w:val="0"/>
        </w:rPr>
        <w:t xml:space="preserve">Public Choice Award</w:t>
      </w:r>
      <w:r w:rsidDel="00000000" w:rsidR="00000000" w:rsidRPr="00000000">
        <w:rPr>
          <w:highlight w:val="white"/>
          <w:rtl w:val="0"/>
        </w:rPr>
        <w:t xml:space="preserve"> will be presented to one of the selected award winners, following an </w:t>
      </w:r>
      <w:r w:rsidDel="00000000" w:rsidR="00000000" w:rsidRPr="00000000">
        <w:rPr>
          <w:b w:val="1"/>
          <w:highlight w:val="white"/>
          <w:rtl w:val="0"/>
        </w:rPr>
        <w:t xml:space="preserve">online vote</w:t>
      </w:r>
      <w:r w:rsidDel="00000000" w:rsidR="00000000" w:rsidRPr="00000000">
        <w:rPr>
          <w:highlight w:val="white"/>
          <w:rtl w:val="0"/>
        </w:rPr>
        <w:t xml:space="preserve"> conducted via the Europa Nostra website and will also receive a monetary prize of €10,000.</w:t>
      </w:r>
    </w:p>
    <w:p w:rsidR="00000000" w:rsidDel="00000000" w:rsidP="00000000" w:rsidRDefault="00000000" w:rsidRPr="00000000" w14:paraId="00000010">
      <w:pPr>
        <w:rPr>
          <w:b w:val="1"/>
        </w:rPr>
      </w:pPr>
      <w:r w:rsidDel="00000000" w:rsidR="00000000" w:rsidRPr="00000000">
        <w:rPr>
          <w:b w:val="1"/>
          <w:rtl w:val="0"/>
        </w:rPr>
        <w:t xml:space="preserve">All entries must be submitted online via </w:t>
      </w:r>
      <w:hyperlink r:id="rId8">
        <w:r w:rsidDel="00000000" w:rsidR="00000000" w:rsidRPr="00000000">
          <w:rPr>
            <w:b w:val="1"/>
            <w:rtl w:val="0"/>
          </w:rPr>
          <w:t xml:space="preserve">european-heritage.awardsplatform.com</w:t>
        </w:r>
      </w:hyperlink>
      <w:r w:rsidDel="00000000" w:rsidR="00000000" w:rsidRPr="00000000">
        <w:rPr>
          <w:b w:val="1"/>
          <w:rtl w:val="0"/>
        </w:rPr>
        <w:t xml:space="preserve">. </w:t>
      </w:r>
    </w:p>
    <w:p w:rsidR="00000000" w:rsidDel="00000000" w:rsidP="00000000" w:rsidRDefault="00000000" w:rsidRPr="00000000" w14:paraId="00000011">
      <w:pPr>
        <w:rPr/>
      </w:pPr>
      <w:r w:rsidDel="00000000" w:rsidR="00000000" w:rsidRPr="00000000">
        <w:rPr>
          <w:rtl w:val="0"/>
        </w:rPr>
        <w:t xml:space="preserve">The deadline for submissions is 25 November 2022.</w:t>
      </w:r>
    </w:p>
    <w:p w:rsidR="00000000" w:rsidDel="00000000" w:rsidP="00000000" w:rsidRDefault="00000000" w:rsidRPr="00000000" w14:paraId="00000012">
      <w:pPr>
        <w:rPr/>
      </w:pPr>
      <w:r w:rsidDel="00000000" w:rsidR="00000000" w:rsidRPr="00000000">
        <w:rPr>
          <w:rtl w:val="0"/>
        </w:rPr>
        <w:t xml:space="preserve">For questions, please consult the </w:t>
      </w:r>
      <w:hyperlink r:id="rId9">
        <w:r w:rsidDel="00000000" w:rsidR="00000000" w:rsidRPr="00000000">
          <w:rPr>
            <w:color w:val="1155cc"/>
            <w:u w:val="single"/>
            <w:rtl w:val="0"/>
          </w:rPr>
          <w:t xml:space="preserve">FAQ</w:t>
        </w:r>
      </w:hyperlink>
      <w:r w:rsidDel="00000000" w:rsidR="00000000" w:rsidRPr="00000000">
        <w:rPr>
          <w:rtl w:val="0"/>
        </w:rPr>
        <w:t xml:space="preserve">. If you cannot find the answer to your question, contact Audrey Hogan, Programme Officer at </w:t>
      </w:r>
      <w:hyperlink r:id="rId10">
        <w:r w:rsidDel="00000000" w:rsidR="00000000" w:rsidRPr="00000000">
          <w:rPr>
            <w:color w:val="1155cc"/>
            <w:u w:val="single"/>
            <w:rtl w:val="0"/>
          </w:rPr>
          <w:t xml:space="preserve">awards@europanostra.org</w:t>
        </w:r>
      </w:hyperlink>
      <w:r w:rsidDel="00000000" w:rsidR="00000000" w:rsidRPr="00000000">
        <w:rPr>
          <w:rtl w:val="0"/>
        </w:rPr>
        <w:t xml:space="preserve">.</w:t>
      </w:r>
    </w:p>
    <w:p w:rsidR="00000000" w:rsidDel="00000000" w:rsidP="00000000" w:rsidRDefault="00000000" w:rsidRPr="00000000" w14:paraId="00000013">
      <w:pPr>
        <w:pBdr>
          <w:top w:color="000000" w:space="2" w:sz="8" w:val="single"/>
          <w:left w:color="000000" w:space="2" w:sz="8" w:val="single"/>
          <w:bottom w:color="000000" w:space="2" w:sz="8" w:val="single"/>
          <w:right w:color="000000" w:space="2" w:sz="8" w:val="single"/>
        </w:pBdr>
        <w:rPr>
          <w:color w:val="000000"/>
        </w:rPr>
      </w:pPr>
      <w:r w:rsidDel="00000000" w:rsidR="00000000" w:rsidRPr="00000000">
        <w:rPr>
          <w:b w:val="1"/>
          <w:i w:val="1"/>
          <w:sz w:val="30"/>
          <w:szCs w:val="30"/>
          <w:rtl w:val="0"/>
        </w:rPr>
        <w:t xml:space="preserve">Conditions of Entry</w:t>
      </w:r>
      <w:r w:rsidDel="00000000" w:rsidR="00000000" w:rsidRPr="00000000">
        <w:rPr>
          <w:rtl w:val="0"/>
        </w:rPr>
      </w:r>
    </w:p>
    <w:p w:rsidR="00000000" w:rsidDel="00000000" w:rsidP="00000000" w:rsidRDefault="00000000" w:rsidRPr="00000000" w14:paraId="00000014">
      <w:pPr>
        <w:spacing w:after="240" w:before="240" w:lineRule="auto"/>
        <w:rPr>
          <w:b w:val="1"/>
          <w:sz w:val="24"/>
          <w:szCs w:val="24"/>
          <w:highlight w:val="white"/>
        </w:rPr>
      </w:pPr>
      <w:r w:rsidDel="00000000" w:rsidR="00000000" w:rsidRPr="00000000">
        <w:rPr>
          <w:b w:val="1"/>
          <w:sz w:val="24"/>
          <w:szCs w:val="24"/>
          <w:highlight w:val="white"/>
          <w:rtl w:val="0"/>
        </w:rPr>
        <w:t xml:space="preserve">Eligible countries</w:t>
      </w:r>
    </w:p>
    <w:p w:rsidR="00000000" w:rsidDel="00000000" w:rsidP="00000000" w:rsidRDefault="00000000" w:rsidRPr="00000000" w14:paraId="00000015">
      <w:pPr>
        <w:spacing w:after="240" w:before="240" w:lineRule="auto"/>
        <w:rPr>
          <w:b w:val="1"/>
          <w:color w:val="000000"/>
          <w:highlight w:val="white"/>
        </w:rPr>
      </w:pPr>
      <w:r w:rsidDel="00000000" w:rsidR="00000000" w:rsidRPr="00000000">
        <w:rPr>
          <w:b w:val="1"/>
          <w:highlight w:val="white"/>
          <w:rtl w:val="0"/>
        </w:rPr>
        <w:t xml:space="preserve">Entries for the European Heritage Awards / Europa Nostra Awards</w:t>
      </w:r>
      <w:r w:rsidDel="00000000" w:rsidR="00000000" w:rsidRPr="00000000">
        <w:rPr>
          <w:highlight w:val="white"/>
          <w:rtl w:val="0"/>
        </w:rPr>
        <w:t xml:space="preserve"> may only be submitted from countries participating in the Creative Europe Programme</w:t>
      </w:r>
      <w:r w:rsidDel="00000000" w:rsidR="00000000" w:rsidRPr="00000000">
        <w:rPr>
          <w:highlight w:val="white"/>
          <w:vertAlign w:val="superscript"/>
        </w:rPr>
        <w:footnoteReference w:customMarkFollows="0" w:id="2"/>
      </w:r>
      <w:r w:rsidDel="00000000" w:rsidR="00000000" w:rsidRPr="00000000">
        <w:rPr>
          <w:highlight w:val="white"/>
          <w:rtl w:val="0"/>
        </w:rPr>
        <w:t xml:space="preserve">, i.e. the 27 EU Member States, the 3 EEA-countries Liechtenstein, Norway and Iceland and other third countries that have signed an Association Agreement with the EU. The following is the list of countries eligible for the European Heritage Awards / Europa Nostra Awards</w:t>
      </w:r>
      <w:r w:rsidDel="00000000" w:rsidR="00000000" w:rsidRPr="00000000">
        <w:rPr>
          <w:b w:val="1"/>
          <w:color w:val="000000"/>
          <w:highlight w:val="white"/>
          <w:rtl w:val="0"/>
        </w:rPr>
        <w:t xml:space="preserve">:</w:t>
      </w:r>
    </w:p>
    <w:p w:rsidR="00000000" w:rsidDel="00000000" w:rsidP="00000000" w:rsidRDefault="00000000" w:rsidRPr="00000000" w14:paraId="00000016">
      <w:pPr>
        <w:spacing w:after="240" w:before="240" w:lineRule="auto"/>
        <w:rPr>
          <w:color w:val="000000"/>
          <w:highlight w:val="white"/>
        </w:rPr>
      </w:pPr>
      <w:r w:rsidDel="00000000" w:rsidR="00000000" w:rsidRPr="00000000">
        <w:rPr>
          <w:color w:val="000000"/>
          <w:highlight w:val="white"/>
          <w:rtl w:val="0"/>
        </w:rPr>
        <w:t xml:space="preserve">Albania, Austria, Belgium, Bosnia and Herzegovina, Bulgaria, Croatia, Cyprus, Czechia, Denmark, Estonia, Finland, France, Georgia, Germany, Greece, Hungary, Iceland, Ireland, Italy, Kosovo</w:t>
      </w:r>
      <w:r w:rsidDel="00000000" w:rsidR="00000000" w:rsidRPr="00000000">
        <w:rPr>
          <w:color w:val="000000"/>
          <w:highlight w:val="white"/>
          <w:vertAlign w:val="superscript"/>
        </w:rPr>
        <w:footnoteReference w:customMarkFollows="0" w:id="3"/>
      </w:r>
      <w:r w:rsidDel="00000000" w:rsidR="00000000" w:rsidRPr="00000000">
        <w:rPr>
          <w:color w:val="000000"/>
          <w:highlight w:val="white"/>
          <w:rtl w:val="0"/>
        </w:rPr>
        <w:t xml:space="preserve">, Latvia, Liechtenstein, Lithuania, Luxembourg, Malta, Montenegro, Netherlands, Norway, Poland, Portugal, Republic of North Macedonia, Romania, Serbia, Slovakia, Slovenia, Spain, Sweden, Tunisia, Ukraine.</w:t>
      </w:r>
      <w:r w:rsidDel="00000000" w:rsidR="00000000" w:rsidRPr="00000000">
        <w:rPr>
          <w:rtl w:val="0"/>
        </w:rPr>
      </w:r>
    </w:p>
    <w:p w:rsidR="00000000" w:rsidDel="00000000" w:rsidP="00000000" w:rsidRDefault="00000000" w:rsidRPr="00000000" w14:paraId="00000017">
      <w:pPr>
        <w:spacing w:after="240" w:before="240" w:lineRule="auto"/>
        <w:rPr>
          <w:highlight w:val="white"/>
        </w:rPr>
      </w:pPr>
      <w:r w:rsidDel="00000000" w:rsidR="00000000" w:rsidRPr="00000000">
        <w:rPr>
          <w:highlight w:val="white"/>
          <w:rtl w:val="0"/>
        </w:rPr>
        <w:t xml:space="preserve">Entries submitted by countries that are members of the Council of Europe but are not participating in the Creative Europe Programme are only eligible for the</w:t>
      </w:r>
      <w:r w:rsidDel="00000000" w:rsidR="00000000" w:rsidRPr="00000000">
        <w:rPr>
          <w:b w:val="1"/>
          <w:highlight w:val="white"/>
          <w:rtl w:val="0"/>
        </w:rPr>
        <w:t xml:space="preserve"> Europa Nostra Awards</w:t>
      </w:r>
      <w:r w:rsidDel="00000000" w:rsidR="00000000" w:rsidRPr="00000000">
        <w:rPr>
          <w:highlight w:val="white"/>
          <w:rtl w:val="0"/>
        </w:rPr>
        <w:t xml:space="preserve">. These countries are:</w:t>
      </w:r>
    </w:p>
    <w:p w:rsidR="00000000" w:rsidDel="00000000" w:rsidP="00000000" w:rsidRDefault="00000000" w:rsidRPr="00000000" w14:paraId="00000018">
      <w:pPr>
        <w:spacing w:after="240" w:before="240" w:lineRule="auto"/>
        <w:rPr>
          <w:color w:val="000000"/>
          <w:highlight w:val="white"/>
        </w:rPr>
      </w:pPr>
      <w:r w:rsidDel="00000000" w:rsidR="00000000" w:rsidRPr="00000000">
        <w:rPr>
          <w:color w:val="000000"/>
          <w:highlight w:val="white"/>
          <w:rtl w:val="0"/>
        </w:rPr>
        <w:t xml:space="preserve">Andorra, Armenia, Azerbaijan, Belarus, Holy See, Moldova, Monaco, Russian Federation, San Marino, Switzerland, Turkey, </w:t>
      </w:r>
      <w:r w:rsidDel="00000000" w:rsidR="00000000" w:rsidRPr="00000000">
        <w:rPr>
          <w:highlight w:val="white"/>
          <w:rtl w:val="0"/>
        </w:rPr>
        <w:t xml:space="preserve">and the United</w:t>
      </w:r>
      <w:r w:rsidDel="00000000" w:rsidR="00000000" w:rsidRPr="00000000">
        <w:rPr>
          <w:color w:val="000000"/>
          <w:highlight w:val="white"/>
          <w:rtl w:val="0"/>
        </w:rPr>
        <w:t xml:space="preserve"> Kingdom.</w:t>
      </w:r>
    </w:p>
    <w:p w:rsidR="00000000" w:rsidDel="00000000" w:rsidP="00000000" w:rsidRDefault="00000000" w:rsidRPr="00000000" w14:paraId="00000019">
      <w:pPr>
        <w:spacing w:after="240" w:before="240" w:lineRule="auto"/>
        <w:rPr>
          <w:highlight w:val="white"/>
        </w:rPr>
      </w:pPr>
      <w:r w:rsidDel="00000000" w:rsidR="00000000" w:rsidRPr="00000000">
        <w:rPr>
          <w:b w:val="1"/>
          <w:highlight w:val="white"/>
          <w:rtl w:val="0"/>
        </w:rPr>
        <w:t xml:space="preserve">N.B.:</w:t>
      </w:r>
      <w:r w:rsidDel="00000000" w:rsidR="00000000" w:rsidRPr="00000000">
        <w:rPr>
          <w:highlight w:val="white"/>
          <w:rtl w:val="0"/>
        </w:rPr>
        <w:t xml:space="preserve"> Entries to the European Heritage Awards / Europa Nostra Awards and the Europa Nostra Awards apply through the same entry procedure and are evaluated together through the same process. However, only winners of the European Heritage Awards / Europa Nostra Awards coming from countries participating in the Creative Europe programme are also eligible to win a Grand Prix and Public Choice Award, with a monetary award of €10.000. </w:t>
      </w:r>
    </w:p>
    <w:p w:rsidR="00000000" w:rsidDel="00000000" w:rsidP="00000000" w:rsidRDefault="00000000" w:rsidRPr="00000000" w14:paraId="0000001A">
      <w:pPr>
        <w:spacing w:after="240" w:before="240" w:line="276" w:lineRule="auto"/>
        <w:rPr>
          <w:b w:val="1"/>
          <w:sz w:val="24"/>
          <w:szCs w:val="24"/>
        </w:rPr>
      </w:pPr>
      <w:r w:rsidDel="00000000" w:rsidR="00000000" w:rsidRPr="00000000">
        <w:rPr>
          <w:b w:val="1"/>
          <w:sz w:val="24"/>
          <w:szCs w:val="24"/>
          <w:rtl w:val="0"/>
        </w:rPr>
        <w:t xml:space="preserve">Types of heritage covered by all five award categories</w:t>
      </w:r>
    </w:p>
    <w:p w:rsidR="00000000" w:rsidDel="00000000" w:rsidP="00000000" w:rsidRDefault="00000000" w:rsidRPr="00000000" w14:paraId="0000001B">
      <w:pPr>
        <w:numPr>
          <w:ilvl w:val="0"/>
          <w:numId w:val="7"/>
        </w:numPr>
        <w:spacing w:after="0" w:lineRule="auto"/>
        <w:ind w:left="720" w:hanging="360"/>
        <w:rPr/>
      </w:pPr>
      <w:r w:rsidDel="00000000" w:rsidR="00000000" w:rsidRPr="00000000">
        <w:rPr>
          <w:b w:val="1"/>
          <w:rtl w:val="0"/>
        </w:rPr>
        <w:t xml:space="preserve">Tangible heritage</w:t>
      </w:r>
      <w:r w:rsidDel="00000000" w:rsidR="00000000" w:rsidRPr="00000000">
        <w:rPr>
          <w:rtl w:val="0"/>
        </w:rPr>
        <w:t xml:space="preserve">: archaeological sites (including underwater archaeology); architectural heritage (single buildings or groups of buildings in a rural or urban setting), including religious, industrial and engineering heritage; building additions or alterations, or new building projects of any type (cultural, residential, religious, industrial or engineering) within historic areas in urban and rural settings;  cultural landscapes, including historic urban environments or townscapes, city or town squares and streetscapes, historic parks and gardens, larger areas of designed landscape or of cultural, environmental and/or agricultural significance; and movable heritage (collections or single works of art or objects of historic significance).</w:t>
      </w:r>
    </w:p>
    <w:p w:rsidR="00000000" w:rsidDel="00000000" w:rsidP="00000000" w:rsidRDefault="00000000" w:rsidRPr="00000000" w14:paraId="0000001C">
      <w:pPr>
        <w:numPr>
          <w:ilvl w:val="0"/>
          <w:numId w:val="7"/>
        </w:numPr>
        <w:spacing w:after="0" w:lineRule="auto"/>
        <w:ind w:left="720" w:hanging="360"/>
        <w:rPr/>
      </w:pPr>
      <w:r w:rsidDel="00000000" w:rsidR="00000000" w:rsidRPr="00000000">
        <w:rPr>
          <w:b w:val="1"/>
          <w:rtl w:val="0"/>
        </w:rPr>
        <w:t xml:space="preserve">Intangible heritage</w:t>
      </w:r>
      <w:r w:rsidDel="00000000" w:rsidR="00000000" w:rsidRPr="00000000">
        <w:rPr>
          <w:highlight w:val="white"/>
          <w:rtl w:val="0"/>
        </w:rPr>
        <w:t xml:space="preserve">, including trad</w:t>
      </w:r>
      <w:r w:rsidDel="00000000" w:rsidR="00000000" w:rsidRPr="00000000">
        <w:rPr>
          <w:rtl w:val="0"/>
        </w:rPr>
        <w:t xml:space="preserve">itions, cultural and social practices and knowledge and skills related to traditional crafts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1D">
      <w:pPr>
        <w:numPr>
          <w:ilvl w:val="0"/>
          <w:numId w:val="7"/>
        </w:numPr>
        <w:ind w:left="720" w:hanging="360"/>
        <w:rPr/>
      </w:pPr>
      <w:r w:rsidDel="00000000" w:rsidR="00000000" w:rsidRPr="00000000">
        <w:rPr>
          <w:b w:val="1"/>
          <w:rtl w:val="0"/>
        </w:rPr>
        <w:t xml:space="preserve">Digital heritage</w:t>
      </w:r>
      <w:r w:rsidDel="00000000" w:rsidR="00000000" w:rsidRPr="00000000">
        <w:rPr>
          <w:rtl w:val="0"/>
        </w:rPr>
        <w:t xml:space="preserve">: born-digitally or converted into digital form from existing analogue resources.</w:t>
      </w:r>
    </w:p>
    <w:p w:rsidR="00000000" w:rsidDel="00000000" w:rsidP="00000000" w:rsidRDefault="00000000" w:rsidRPr="00000000" w14:paraId="0000001E">
      <w:pPr>
        <w:spacing w:after="240" w:before="240" w:lineRule="auto"/>
        <w:rPr>
          <w:b w:val="1"/>
          <w:sz w:val="24"/>
          <w:szCs w:val="24"/>
        </w:rPr>
      </w:pPr>
      <w:r w:rsidDel="00000000" w:rsidR="00000000" w:rsidRPr="00000000">
        <w:rPr>
          <w:b w:val="1"/>
          <w:sz w:val="24"/>
          <w:szCs w:val="24"/>
          <w:rtl w:val="0"/>
        </w:rPr>
        <w:t xml:space="preserve">Awards categories &amp; conditions for submitting an entry</w:t>
      </w:r>
    </w:p>
    <w:p w:rsidR="00000000" w:rsidDel="00000000" w:rsidP="00000000" w:rsidRDefault="00000000" w:rsidRPr="00000000" w14:paraId="0000001F">
      <w:pPr>
        <w:numPr>
          <w:ilvl w:val="0"/>
          <w:numId w:val="9"/>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b w:val="1"/>
          <w:color w:val="000000"/>
          <w:rtl w:val="0"/>
        </w:rPr>
        <w:t xml:space="preserve">Conservation &amp; Adaptive Reuse</w:t>
      </w:r>
    </w:p>
    <w:p w:rsidR="00000000" w:rsidDel="00000000" w:rsidP="00000000" w:rsidRDefault="00000000" w:rsidRPr="00000000" w14:paraId="00000020">
      <w:pPr>
        <w:widowControl w:val="0"/>
        <w:rPr>
          <w:i w:val="1"/>
        </w:rPr>
      </w:pPr>
      <w:r w:rsidDel="00000000" w:rsidR="00000000" w:rsidRPr="00000000">
        <w:rPr>
          <w:i w:val="1"/>
          <w:rtl w:val="0"/>
        </w:rPr>
        <w:t xml:space="preserve">Outstanding projects aiming at the conservation, regeneration and </w:t>
      </w:r>
      <w:r w:rsidDel="00000000" w:rsidR="00000000" w:rsidRPr="00000000">
        <w:rPr>
          <w:i w:val="1"/>
          <w:color w:val="333333"/>
          <w:rtl w:val="0"/>
        </w:rPr>
        <w:t xml:space="preserve">adaptation </w:t>
      </w:r>
      <w:r w:rsidDel="00000000" w:rsidR="00000000" w:rsidRPr="00000000">
        <w:rPr>
          <w:i w:val="1"/>
          <w:rtl w:val="0"/>
        </w:rPr>
        <w:t xml:space="preserve">to new uses of cultural heritage, including cultural landscapes. </w:t>
      </w:r>
    </w:p>
    <w:p w:rsidR="00000000" w:rsidDel="00000000" w:rsidP="00000000" w:rsidRDefault="00000000" w:rsidRPr="00000000" w14:paraId="00000021">
      <w:pPr>
        <w:numPr>
          <w:ilvl w:val="0"/>
          <w:numId w:val="10"/>
        </w:numPr>
        <w:shd w:fill="ffffff" w:val="clear"/>
        <w:spacing w:after="0" w:line="276" w:lineRule="auto"/>
        <w:ind w:left="720" w:hanging="360"/>
        <w:rPr/>
      </w:pPr>
      <w:r w:rsidDel="00000000" w:rsidR="00000000" w:rsidRPr="00000000">
        <w:rPr>
          <w:rtl w:val="0"/>
        </w:rPr>
        <w:t xml:space="preserve">Must have been completed during the past three years (within the period between September 2019 and September 2022). </w:t>
      </w:r>
    </w:p>
    <w:p w:rsidR="00000000" w:rsidDel="00000000" w:rsidP="00000000" w:rsidRDefault="00000000" w:rsidRPr="00000000" w14:paraId="00000022">
      <w:pPr>
        <w:numPr>
          <w:ilvl w:val="0"/>
          <w:numId w:val="10"/>
        </w:numPr>
        <w:shd w:fill="ffffff" w:val="clear"/>
        <w:spacing w:after="0" w:line="276" w:lineRule="auto"/>
        <w:ind w:left="720" w:hanging="360"/>
        <w:rPr/>
      </w:pPr>
      <w:r w:rsidDel="00000000" w:rsidR="00000000" w:rsidRPr="00000000">
        <w:rPr>
          <w:rtl w:val="0"/>
        </w:rPr>
        <w:t xml:space="preserve">Must adhere to the most up-to-date principles and standards of heritage conservation. (identification and respect of heritage values, materials, legibility, compatibility and reversibility). </w:t>
      </w:r>
    </w:p>
    <w:p w:rsidR="00000000" w:rsidDel="00000000" w:rsidP="00000000" w:rsidRDefault="00000000" w:rsidRPr="00000000" w14:paraId="00000023">
      <w:pPr>
        <w:numPr>
          <w:ilvl w:val="0"/>
          <w:numId w:val="10"/>
        </w:numPr>
        <w:shd w:fill="ffffff" w:val="clear"/>
        <w:spacing w:after="0" w:line="276" w:lineRule="auto"/>
        <w:ind w:left="720" w:hanging="360"/>
        <w:rPr/>
      </w:pPr>
      <w:r w:rsidDel="00000000" w:rsidR="00000000" w:rsidRPr="00000000">
        <w:rPr>
          <w:rtl w:val="0"/>
        </w:rPr>
        <w:t xml:space="preserve">Should be accessible to the public. </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spacing w:after="240" w:lineRule="auto"/>
        <w:ind w:left="720" w:firstLine="0"/>
        <w:rPr>
          <w:b w:val="1"/>
        </w:rPr>
      </w:pPr>
      <w:r w:rsidDel="00000000" w:rsidR="00000000" w:rsidRPr="00000000">
        <w:rPr>
          <w:color w:val="000000"/>
          <w:rtl w:val="0"/>
        </w:rPr>
        <w:t xml:space="preserve">Buildings or sites that are regularly used by large numbers of people, for instance schools or office premises, are considered accessible. Private buildings or sites that are regularly open to visitors, at least on</w:t>
      </w:r>
      <w:r w:rsidDel="00000000" w:rsidR="00000000" w:rsidRPr="00000000">
        <w:rPr>
          <w:rtl w:val="0"/>
        </w:rPr>
        <w:t xml:space="preserve">ce a year, </w:t>
      </w:r>
      <w:r w:rsidDel="00000000" w:rsidR="00000000" w:rsidRPr="00000000">
        <w:rPr>
          <w:color w:val="000000"/>
          <w:rtl w:val="0"/>
        </w:rPr>
        <w:t xml:space="preserve">are also considered accessible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5">
      <w:pPr>
        <w:numPr>
          <w:ilvl w:val="0"/>
          <w:numId w:val="9"/>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b w:val="1"/>
          <w:color w:val="000000"/>
          <w:rtl w:val="0"/>
        </w:rPr>
        <w:t xml:space="preserve">Research</w:t>
      </w:r>
    </w:p>
    <w:p w:rsidR="00000000" w:rsidDel="00000000" w:rsidP="00000000" w:rsidRDefault="00000000" w:rsidRPr="00000000" w14:paraId="00000026">
      <w:pPr>
        <w:rPr>
          <w:i w:val="1"/>
        </w:rPr>
      </w:pPr>
      <w:r w:rsidDel="00000000" w:rsidR="00000000" w:rsidRPr="00000000">
        <w:rPr>
          <w:i w:val="1"/>
          <w:rtl w:val="0"/>
        </w:rPr>
        <w:t xml:space="preserve">Innovative research projects which lead to tangible effects for the safeguard and enhancement of cultural heritage and/or to improve the access, enjoyment and understanding of heritage assets by communities.</w:t>
      </w:r>
    </w:p>
    <w:p w:rsidR="00000000" w:rsidDel="00000000" w:rsidP="00000000" w:rsidRDefault="00000000" w:rsidRPr="00000000" w14:paraId="00000027">
      <w:pPr>
        <w:numPr>
          <w:ilvl w:val="0"/>
          <w:numId w:val="4"/>
        </w:numPr>
        <w:shd w:fill="ffffff" w:val="clear"/>
        <w:spacing w:after="0" w:line="276" w:lineRule="auto"/>
        <w:ind w:left="720" w:hanging="360"/>
        <w:rPr/>
      </w:pPr>
      <w:r w:rsidDel="00000000" w:rsidR="00000000" w:rsidRPr="00000000">
        <w:rPr>
          <w:rtl w:val="0"/>
        </w:rPr>
        <w:t xml:space="preserve">Must have been completed during the past three years (within the period between September 2019 and September 2022).  For Research projects, it is </w:t>
      </w:r>
      <w:r w:rsidDel="00000000" w:rsidR="00000000" w:rsidRPr="00000000">
        <w:rPr>
          <w:rtl w:val="0"/>
        </w:rPr>
        <w:t xml:space="preserve">recommended</w:t>
      </w:r>
      <w:r w:rsidDel="00000000" w:rsidR="00000000" w:rsidRPr="00000000">
        <w:rPr>
          <w:rtl w:val="0"/>
        </w:rPr>
        <w:t xml:space="preserve"> to wait until such a time in order to be able to present evidence of the results and more long-term impact of the project.</w:t>
      </w:r>
    </w:p>
    <w:p w:rsidR="00000000" w:rsidDel="00000000" w:rsidP="00000000" w:rsidRDefault="00000000" w:rsidRPr="00000000" w14:paraId="00000028">
      <w:pPr>
        <w:numPr>
          <w:ilvl w:val="0"/>
          <w:numId w:val="4"/>
        </w:numPr>
        <w:shd w:fill="ffffff" w:val="clear"/>
        <w:spacing w:after="0" w:line="276" w:lineRule="auto"/>
        <w:ind w:left="720" w:hanging="360"/>
        <w:rPr/>
      </w:pPr>
      <w:r w:rsidDel="00000000" w:rsidR="00000000" w:rsidRPr="00000000">
        <w:rPr>
          <w:rtl w:val="0"/>
        </w:rPr>
        <w:t xml:space="preserve">Should entail one or more of the following types of activity: </w:t>
      </w:r>
    </w:p>
    <w:p w:rsidR="00000000" w:rsidDel="00000000" w:rsidP="00000000" w:rsidRDefault="00000000" w:rsidRPr="00000000" w14:paraId="00000029">
      <w:pPr>
        <w:numPr>
          <w:ilvl w:val="1"/>
          <w:numId w:val="4"/>
        </w:numPr>
        <w:shd w:fill="ffffff" w:val="clear"/>
        <w:spacing w:after="0" w:line="276" w:lineRule="auto"/>
        <w:ind w:left="1440" w:hanging="360"/>
        <w:rPr/>
      </w:pPr>
      <w:r w:rsidDel="00000000" w:rsidR="00000000" w:rsidRPr="00000000">
        <w:rPr>
          <w:rtl w:val="0"/>
        </w:rPr>
        <w:t xml:space="preserve">Research study</w:t>
      </w:r>
    </w:p>
    <w:p w:rsidR="00000000" w:rsidDel="00000000" w:rsidP="00000000" w:rsidRDefault="00000000" w:rsidRPr="00000000" w14:paraId="0000002A">
      <w:pPr>
        <w:numPr>
          <w:ilvl w:val="1"/>
          <w:numId w:val="4"/>
        </w:numPr>
        <w:shd w:fill="ffffff" w:val="clear"/>
        <w:spacing w:after="0" w:line="276" w:lineRule="auto"/>
        <w:ind w:left="1440" w:hanging="360"/>
        <w:rPr/>
      </w:pPr>
      <w:r w:rsidDel="00000000" w:rsidR="00000000" w:rsidRPr="00000000">
        <w:rPr>
          <w:rtl w:val="0"/>
        </w:rPr>
        <w:t xml:space="preserve">Scientific publication on the results of research</w:t>
      </w:r>
    </w:p>
    <w:p w:rsidR="00000000" w:rsidDel="00000000" w:rsidP="00000000" w:rsidRDefault="00000000" w:rsidRPr="00000000" w14:paraId="0000002B">
      <w:pPr>
        <w:numPr>
          <w:ilvl w:val="1"/>
          <w:numId w:val="4"/>
        </w:numPr>
        <w:shd w:fill="ffffff" w:val="clear"/>
        <w:spacing w:after="0" w:line="276" w:lineRule="auto"/>
        <w:ind w:left="1440" w:hanging="360"/>
        <w:rPr/>
      </w:pPr>
      <w:r w:rsidDel="00000000" w:rsidR="00000000" w:rsidRPr="00000000">
        <w:rPr>
          <w:rtl w:val="0"/>
        </w:rPr>
        <w:t xml:space="preserve">Applied research</w:t>
      </w:r>
    </w:p>
    <w:p w:rsidR="00000000" w:rsidDel="00000000" w:rsidP="00000000" w:rsidRDefault="00000000" w:rsidRPr="00000000" w14:paraId="0000002C">
      <w:pPr>
        <w:numPr>
          <w:ilvl w:val="1"/>
          <w:numId w:val="4"/>
        </w:numPr>
        <w:shd w:fill="ffffff" w:val="clear"/>
        <w:spacing w:after="0" w:line="276" w:lineRule="auto"/>
        <w:ind w:left="1440" w:hanging="360"/>
        <w:rPr/>
      </w:pPr>
      <w:r w:rsidDel="00000000" w:rsidR="00000000" w:rsidRPr="00000000">
        <w:rPr>
          <w:rtl w:val="0"/>
        </w:rPr>
        <w:t xml:space="preserve">Pilot projects </w:t>
      </w:r>
    </w:p>
    <w:p w:rsidR="00000000" w:rsidDel="00000000" w:rsidP="00000000" w:rsidRDefault="00000000" w:rsidRPr="00000000" w14:paraId="0000002D">
      <w:pPr>
        <w:numPr>
          <w:ilvl w:val="1"/>
          <w:numId w:val="4"/>
        </w:numPr>
        <w:shd w:fill="ffffff" w:val="clear"/>
        <w:spacing w:after="0" w:line="276" w:lineRule="auto"/>
        <w:ind w:left="1440" w:hanging="360"/>
        <w:rPr/>
      </w:pPr>
      <w:r w:rsidDel="00000000" w:rsidR="00000000" w:rsidRPr="00000000">
        <w:rPr>
          <w:rtl w:val="0"/>
        </w:rPr>
        <w:t xml:space="preserve">New/innovative methodologies, techniques, models or tools that lead to new knowledge about a given cultural heritage site/ asset or with regard to the safeguard and/or the enhancement of cultural heritage.</w:t>
      </w:r>
    </w:p>
    <w:p w:rsidR="00000000" w:rsidDel="00000000" w:rsidP="00000000" w:rsidRDefault="00000000" w:rsidRPr="00000000" w14:paraId="0000002E">
      <w:pPr>
        <w:numPr>
          <w:ilvl w:val="0"/>
          <w:numId w:val="4"/>
        </w:numPr>
        <w:shd w:fill="ffffff" w:val="clear"/>
        <w:spacing w:after="0" w:line="276" w:lineRule="auto"/>
        <w:ind w:left="720" w:hanging="360"/>
        <w:rPr/>
      </w:pPr>
      <w:r w:rsidDel="00000000" w:rsidR="00000000" w:rsidRPr="00000000">
        <w:rPr>
          <w:rtl w:val="0"/>
        </w:rPr>
        <w:t xml:space="preserve">Should be innovative in nature with a clear methodology and scientific approach that are reproducible.</w:t>
      </w:r>
    </w:p>
    <w:p w:rsidR="00000000" w:rsidDel="00000000" w:rsidP="00000000" w:rsidRDefault="00000000" w:rsidRPr="00000000" w14:paraId="0000002F">
      <w:pPr>
        <w:numPr>
          <w:ilvl w:val="0"/>
          <w:numId w:val="4"/>
        </w:numPr>
        <w:shd w:fill="ffffff" w:val="clear"/>
        <w:spacing w:after="0" w:line="276" w:lineRule="auto"/>
        <w:ind w:left="720" w:hanging="360"/>
        <w:rPr/>
      </w:pPr>
      <w:r w:rsidDel="00000000" w:rsidR="00000000" w:rsidRPr="00000000">
        <w:rPr>
          <w:rtl w:val="0"/>
        </w:rPr>
        <w:t xml:space="preserve">Should clearly present qualitative and quantitative results that generated an improvement for heritage sites/assets, as well as for their users and stakeholders</w:t>
      </w:r>
      <w:r w:rsidDel="00000000" w:rsidR="00000000" w:rsidRPr="00000000">
        <w:rPr>
          <w:highlight w:val="white"/>
          <w:rtl w:val="0"/>
        </w:rPr>
        <w:t xml:space="preserve"> in the given context.</w:t>
      </w: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numPr>
          <w:ilvl w:val="0"/>
          <w:numId w:val="9"/>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b w:val="1"/>
          <w:color w:val="000000"/>
          <w:rtl w:val="0"/>
        </w:rPr>
        <w:t xml:space="preserve">Education, Training &amp; Skills </w:t>
      </w:r>
    </w:p>
    <w:p w:rsidR="00000000" w:rsidDel="00000000" w:rsidP="00000000" w:rsidRDefault="00000000" w:rsidRPr="00000000" w14:paraId="00000032">
      <w:pPr>
        <w:rPr>
          <w:i w:val="1"/>
        </w:rPr>
      </w:pPr>
      <w:r w:rsidDel="00000000" w:rsidR="00000000" w:rsidRPr="00000000">
        <w:rPr>
          <w:i w:val="1"/>
          <w:rtl w:val="0"/>
        </w:rPr>
        <w:t xml:space="preserve">Exemplary projects or initiatives related to cultural heritage with the aim of fostering knowledge transfer, capacity-building and/or enhancing traditional or new skills and crafts related to heritage. </w:t>
      </w:r>
    </w:p>
    <w:p w:rsidR="00000000" w:rsidDel="00000000" w:rsidP="00000000" w:rsidRDefault="00000000" w:rsidRPr="00000000" w14:paraId="00000033">
      <w:pPr>
        <w:numPr>
          <w:ilvl w:val="0"/>
          <w:numId w:val="5"/>
        </w:numPr>
        <w:spacing w:after="0" w:line="276" w:lineRule="auto"/>
        <w:ind w:left="720" w:hanging="360"/>
        <w:rPr/>
      </w:pPr>
      <w:r w:rsidDel="00000000" w:rsidR="00000000" w:rsidRPr="00000000">
        <w:rPr>
          <w:rtl w:val="0"/>
        </w:rPr>
        <w:t xml:space="preserve">Must have been completed during the past three years (within the period between September 2019 and September 2022), or should be ongoing and at an advanced stage in order to have led to tangible results (quantitative and qualitative) that have generated an improvement for heritage sites/assets, as well as for their users and stakeholders</w:t>
      </w:r>
      <w:r w:rsidDel="00000000" w:rsidR="00000000" w:rsidRPr="00000000">
        <w:rPr>
          <w:highlight w:val="white"/>
          <w:rtl w:val="0"/>
        </w:rPr>
        <w:t xml:space="preserve"> in the given context.  </w:t>
      </w:r>
      <w:r w:rsidDel="00000000" w:rsidR="00000000" w:rsidRPr="00000000">
        <w:rPr>
          <w:rtl w:val="0"/>
        </w:rPr>
      </w:r>
    </w:p>
    <w:p w:rsidR="00000000" w:rsidDel="00000000" w:rsidP="00000000" w:rsidRDefault="00000000" w:rsidRPr="00000000" w14:paraId="00000034">
      <w:pPr>
        <w:numPr>
          <w:ilvl w:val="0"/>
          <w:numId w:val="5"/>
        </w:numPr>
        <w:spacing w:after="0" w:line="276" w:lineRule="auto"/>
        <w:ind w:left="720" w:hanging="360"/>
        <w:rPr/>
      </w:pPr>
      <w:r w:rsidDel="00000000" w:rsidR="00000000" w:rsidRPr="00000000">
        <w:rPr>
          <w:rtl w:val="0"/>
        </w:rPr>
        <w:t xml:space="preserve">Should be interactive and participatory and lead to the engagement and empowerment of the participants.</w:t>
      </w:r>
    </w:p>
    <w:p w:rsidR="00000000" w:rsidDel="00000000" w:rsidP="00000000" w:rsidRDefault="00000000" w:rsidRPr="00000000" w14:paraId="00000035">
      <w:pPr>
        <w:numPr>
          <w:ilvl w:val="0"/>
          <w:numId w:val="5"/>
        </w:numPr>
        <w:spacing w:after="0" w:line="276" w:lineRule="auto"/>
        <w:ind w:left="720" w:hanging="360"/>
        <w:rPr/>
      </w:pPr>
      <w:r w:rsidDel="00000000" w:rsidR="00000000" w:rsidRPr="00000000">
        <w:rPr>
          <w:rtl w:val="0"/>
        </w:rPr>
        <w:t xml:space="preserve">Should reach beyond the standard educational or academic framework.</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rPr>
          <w:i w:val="1"/>
          <w:color w:val="000000"/>
        </w:rPr>
      </w:pPr>
      <w:r w:rsidDel="00000000" w:rsidR="00000000" w:rsidRPr="00000000">
        <w:rPr>
          <w:rtl w:val="0"/>
        </w:rPr>
      </w:r>
    </w:p>
    <w:p w:rsidR="00000000" w:rsidDel="00000000" w:rsidP="00000000" w:rsidRDefault="00000000" w:rsidRPr="00000000" w14:paraId="00000037">
      <w:pPr>
        <w:numPr>
          <w:ilvl w:val="0"/>
          <w:numId w:val="9"/>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b w:val="1"/>
          <w:color w:val="000000"/>
          <w:rtl w:val="0"/>
        </w:rPr>
        <w:t xml:space="preserve">Citizens Engagement &amp; Awareness-raising </w:t>
      </w:r>
    </w:p>
    <w:p w:rsidR="00000000" w:rsidDel="00000000" w:rsidP="00000000" w:rsidRDefault="00000000" w:rsidRPr="00000000" w14:paraId="00000038">
      <w:pPr>
        <w:rPr>
          <w:i w:val="1"/>
          <w:highlight w:val="white"/>
        </w:rPr>
      </w:pPr>
      <w:r w:rsidDel="00000000" w:rsidR="00000000" w:rsidRPr="00000000">
        <w:rPr>
          <w:i w:val="1"/>
          <w:rtl w:val="0"/>
        </w:rPr>
        <w:t xml:space="preserve">Outstanding heritage-led projects which foster social cohesion, inclusion, multicultural dialogue and </w:t>
      </w:r>
      <w:r w:rsidDel="00000000" w:rsidR="00000000" w:rsidRPr="00000000">
        <w:rPr>
          <w:i w:val="1"/>
          <w:highlight w:val="white"/>
          <w:rtl w:val="0"/>
        </w:rPr>
        <w:t xml:space="preserve">understanding, nurture a sense of place and belonging, celebrate diversity and multiple identities as well as stimulate citizens’ engagement, ownership and civic responsibility. </w:t>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spacing w:after="0" w:line="276" w:lineRule="auto"/>
        <w:ind w:left="720" w:hanging="360"/>
        <w:rPr/>
      </w:pPr>
      <w:r w:rsidDel="00000000" w:rsidR="00000000" w:rsidRPr="00000000">
        <w:rPr>
          <w:rtl w:val="0"/>
        </w:rPr>
        <w:t xml:space="preserve">Must h</w:t>
      </w:r>
      <w:r w:rsidDel="00000000" w:rsidR="00000000" w:rsidRPr="00000000">
        <w:rPr>
          <w:highlight w:val="white"/>
          <w:rtl w:val="0"/>
        </w:rPr>
        <w:t xml:space="preserve">ave been completed during the past three years (within the period between September 2019 and September 2022), or should be ongoing and at an advanced stage in order to have led to tangible resul</w:t>
      </w:r>
      <w:r w:rsidDel="00000000" w:rsidR="00000000" w:rsidRPr="00000000">
        <w:rPr>
          <w:rtl w:val="0"/>
        </w:rPr>
        <w:t xml:space="preserve">ts (quantitative and qualitative) that have generated an improvement for heritage sites/assets, as well as for their users and stakeholde</w:t>
      </w:r>
      <w:r w:rsidDel="00000000" w:rsidR="00000000" w:rsidRPr="00000000">
        <w:rPr>
          <w:highlight w:val="white"/>
          <w:rtl w:val="0"/>
        </w:rPr>
        <w:t xml:space="preserve">rs in the given context.  </w:t>
      </w:r>
      <w:r w:rsidDel="00000000" w:rsidR="00000000" w:rsidRPr="00000000">
        <w:rPr>
          <w:rtl w:val="0"/>
        </w:rPr>
      </w:r>
    </w:p>
    <w:p w:rsidR="00000000" w:rsidDel="00000000" w:rsidP="00000000" w:rsidRDefault="00000000" w:rsidRPr="00000000" w14:paraId="0000003A">
      <w:pPr>
        <w:numPr>
          <w:ilvl w:val="0"/>
          <w:numId w:val="2"/>
        </w:numPr>
        <w:spacing w:after="0" w:line="276" w:lineRule="auto"/>
        <w:ind w:left="720" w:hanging="360"/>
        <w:rPr/>
      </w:pPr>
      <w:r w:rsidDel="00000000" w:rsidR="00000000" w:rsidRPr="00000000">
        <w:rPr>
          <w:rtl w:val="0"/>
        </w:rPr>
        <w:t xml:space="preserve">Should be interactive and participatory and lead to the engagement and empowerment of the participants.</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numPr>
          <w:ilvl w:val="0"/>
          <w:numId w:val="9"/>
        </w:numPr>
        <w:pBdr>
          <w:top w:space="0" w:sz="0" w:val="nil"/>
          <w:left w:space="0" w:sz="0" w:val="nil"/>
          <w:bottom w:space="0" w:sz="0" w:val="nil"/>
          <w:right w:space="0" w:sz="0" w:val="nil"/>
          <w:between w:space="0" w:sz="0" w:val="nil"/>
        </w:pBdr>
        <w:spacing w:after="0" w:line="276" w:lineRule="auto"/>
        <w:ind w:left="720" w:hanging="360"/>
        <w:rPr>
          <w:b w:val="1"/>
          <w:color w:val="000000"/>
        </w:rPr>
      </w:pPr>
      <w:r w:rsidDel="00000000" w:rsidR="00000000" w:rsidRPr="00000000">
        <w:rPr>
          <w:b w:val="1"/>
          <w:color w:val="000000"/>
          <w:rtl w:val="0"/>
        </w:rPr>
        <w:t xml:space="preserve">Heritage Champions</w:t>
      </w:r>
    </w:p>
    <w:p w:rsidR="00000000" w:rsidDel="00000000" w:rsidP="00000000" w:rsidRDefault="00000000" w:rsidRPr="00000000" w14:paraId="0000003D">
      <w:pPr>
        <w:rPr>
          <w:i w:val="1"/>
        </w:rPr>
      </w:pPr>
      <w:r w:rsidDel="00000000" w:rsidR="00000000" w:rsidRPr="00000000">
        <w:rPr>
          <w:i w:val="1"/>
          <w:rtl w:val="0"/>
        </w:rPr>
        <w:t xml:space="preserve">Influential and inspiring individuals or organisations whose exemplary action demonstrates an exceptional level of dedication, impact and civic engagement for the safeguard and enhancement of cultural heritage.</w:t>
      </w:r>
    </w:p>
    <w:p w:rsidR="00000000" w:rsidDel="00000000" w:rsidP="00000000" w:rsidRDefault="00000000" w:rsidRPr="00000000" w14:paraId="0000003E">
      <w:pPr>
        <w:numPr>
          <w:ilvl w:val="0"/>
          <w:numId w:val="1"/>
        </w:numPr>
        <w:spacing w:after="0" w:line="276" w:lineRule="auto"/>
        <w:ind w:left="720" w:hanging="360"/>
        <w:rPr/>
      </w:pPr>
      <w:r w:rsidDel="00000000" w:rsidR="00000000" w:rsidRPr="00000000">
        <w:rPr>
          <w:rtl w:val="0"/>
        </w:rPr>
        <w:t xml:space="preserve">Candidates must be nominated by another individual or organisation. </w:t>
      </w:r>
    </w:p>
    <w:p w:rsidR="00000000" w:rsidDel="00000000" w:rsidP="00000000" w:rsidRDefault="00000000" w:rsidRPr="00000000" w14:paraId="0000003F">
      <w:pPr>
        <w:numPr>
          <w:ilvl w:val="0"/>
          <w:numId w:val="1"/>
        </w:numPr>
        <w:spacing w:after="0" w:line="276" w:lineRule="auto"/>
        <w:ind w:left="720" w:hanging="360"/>
        <w:rPr/>
      </w:pPr>
      <w:r w:rsidDel="00000000" w:rsidR="00000000" w:rsidRPr="00000000">
        <w:rPr>
          <w:rtl w:val="0"/>
        </w:rPr>
        <w:t xml:space="preserve">The nominee(s) can be an individual, organisation or group of people. </w:t>
      </w:r>
    </w:p>
    <w:p w:rsidR="00000000" w:rsidDel="00000000" w:rsidP="00000000" w:rsidRDefault="00000000" w:rsidRPr="00000000" w14:paraId="00000040">
      <w:pPr>
        <w:numPr>
          <w:ilvl w:val="0"/>
          <w:numId w:val="1"/>
        </w:numPr>
        <w:spacing w:after="0" w:line="276" w:lineRule="auto"/>
        <w:ind w:left="720" w:hanging="360"/>
        <w:rPr/>
      </w:pPr>
      <w:r w:rsidDel="00000000" w:rsidR="00000000" w:rsidRPr="00000000">
        <w:rPr>
          <w:rtl w:val="0"/>
        </w:rPr>
        <w:t xml:space="preserve">The achievement in question may be remunerated or non-remunerated/voluntary.</w:t>
      </w:r>
    </w:p>
    <w:p w:rsidR="00000000" w:rsidDel="00000000" w:rsidP="00000000" w:rsidRDefault="00000000" w:rsidRPr="00000000" w14:paraId="00000041">
      <w:pPr>
        <w:numPr>
          <w:ilvl w:val="0"/>
          <w:numId w:val="1"/>
        </w:numPr>
        <w:spacing w:after="0" w:line="276" w:lineRule="auto"/>
        <w:ind w:left="720" w:hanging="360"/>
        <w:rPr/>
      </w:pPr>
      <w:r w:rsidDel="00000000" w:rsidR="00000000" w:rsidRPr="00000000">
        <w:rPr>
          <w:rtl w:val="0"/>
        </w:rPr>
        <w:t xml:space="preserve">The nominee(s) must demonstrate a high degree of commitment, coupled with excellence in the protection, conservation and enhancement of cultural heritage in Europe.</w:t>
      </w:r>
    </w:p>
    <w:p w:rsidR="00000000" w:rsidDel="00000000" w:rsidP="00000000" w:rsidRDefault="00000000" w:rsidRPr="00000000" w14:paraId="00000042">
      <w:pPr>
        <w:numPr>
          <w:ilvl w:val="0"/>
          <w:numId w:val="1"/>
        </w:numPr>
        <w:spacing w:after="0" w:line="276" w:lineRule="auto"/>
        <w:ind w:left="720" w:hanging="360"/>
        <w:rPr/>
      </w:pPr>
      <w:r w:rsidDel="00000000" w:rsidR="00000000" w:rsidRPr="00000000">
        <w:rPr>
          <w:rtl w:val="0"/>
        </w:rPr>
        <w:t xml:space="preserve">The achievement must have far exceeded normal expectations from heritage professionals or volunteers in the given context.</w:t>
      </w:r>
    </w:p>
    <w:p w:rsidR="00000000" w:rsidDel="00000000" w:rsidP="00000000" w:rsidRDefault="00000000" w:rsidRPr="00000000" w14:paraId="00000043">
      <w:pPr>
        <w:numPr>
          <w:ilvl w:val="0"/>
          <w:numId w:val="1"/>
        </w:numPr>
        <w:spacing w:after="0" w:line="276" w:lineRule="auto"/>
        <w:ind w:left="720" w:hanging="360"/>
        <w:rPr/>
      </w:pPr>
      <w:r w:rsidDel="00000000" w:rsidR="00000000" w:rsidRPr="00000000">
        <w:rPr>
          <w:rtl w:val="0"/>
        </w:rPr>
        <w:t xml:space="preserve">The results achieved by the nominees must have generated an improvement for heritage sites/assets, or for their users and stakeholders in the given context.</w:t>
      </w:r>
    </w:p>
    <w:p w:rsidR="00000000" w:rsidDel="00000000" w:rsidP="00000000" w:rsidRDefault="00000000" w:rsidRPr="00000000" w14:paraId="00000044">
      <w:pPr>
        <w:spacing w:after="0" w:line="276" w:lineRule="auto"/>
        <w:rPr/>
      </w:pPr>
      <w:r w:rsidDel="00000000" w:rsidR="00000000" w:rsidRPr="00000000">
        <w:rPr>
          <w:rtl w:val="0"/>
        </w:rPr>
      </w:r>
    </w:p>
    <w:p w:rsidR="00000000" w:rsidDel="00000000" w:rsidP="00000000" w:rsidRDefault="00000000" w:rsidRPr="00000000" w14:paraId="00000045">
      <w:pPr>
        <w:spacing w:after="0" w:line="276" w:lineRule="auto"/>
        <w:rPr/>
      </w:pPr>
      <w:r w:rsidDel="00000000" w:rsidR="00000000" w:rsidRPr="00000000">
        <w:rPr>
          <w:b w:val="1"/>
          <w:sz w:val="24"/>
          <w:szCs w:val="24"/>
          <w:rtl w:val="0"/>
        </w:rPr>
        <w:t xml:space="preserve">Entry procedure for all awards categories</w:t>
      </w:r>
      <w:r w:rsidDel="00000000" w:rsidR="00000000" w:rsidRPr="00000000">
        <w:rPr>
          <w:rtl w:val="0"/>
        </w:rPr>
      </w:r>
    </w:p>
    <w:p w:rsidR="00000000" w:rsidDel="00000000" w:rsidP="00000000" w:rsidRDefault="00000000" w:rsidRPr="00000000" w14:paraId="00000046">
      <w:pPr>
        <w:spacing w:after="0" w:line="276" w:lineRule="auto"/>
        <w:rPr/>
      </w:pPr>
      <w:r w:rsidDel="00000000" w:rsidR="00000000" w:rsidRPr="00000000">
        <w:rPr>
          <w:rtl w:val="0"/>
        </w:rPr>
      </w:r>
    </w:p>
    <w:p w:rsidR="00000000" w:rsidDel="00000000" w:rsidP="00000000" w:rsidRDefault="00000000" w:rsidRPr="00000000" w14:paraId="00000047">
      <w:pPr>
        <w:numPr>
          <w:ilvl w:val="0"/>
          <w:numId w:val="8"/>
        </w:numPr>
        <w:spacing w:after="0" w:lineRule="auto"/>
        <w:ind w:left="720" w:hanging="360"/>
        <w:rPr/>
      </w:pPr>
      <w:r w:rsidDel="00000000" w:rsidR="00000000" w:rsidRPr="00000000">
        <w:rPr>
          <w:rtl w:val="0"/>
        </w:rPr>
        <w:t xml:space="preserve">The project/entry may be submitted in one category only. In case of hesitations about the most suitable category, please contact </w:t>
      </w:r>
      <w:hyperlink r:id="rId11">
        <w:r w:rsidDel="00000000" w:rsidR="00000000" w:rsidRPr="00000000">
          <w:rPr>
            <w:color w:val="1155cc"/>
            <w:u w:val="single"/>
            <w:rtl w:val="0"/>
          </w:rPr>
          <w:t xml:space="preserve">awards@</w:t>
        </w:r>
      </w:hyperlink>
      <w:hyperlink r:id="rId12">
        <w:r w:rsidDel="00000000" w:rsidR="00000000" w:rsidRPr="00000000">
          <w:rPr>
            <w:color w:val="1155cc"/>
            <w:u w:val="single"/>
            <w:rtl w:val="0"/>
          </w:rPr>
          <w:t xml:space="preserve">europanostra.org</w:t>
        </w:r>
      </w:hyperlink>
      <w:r w:rsidDel="00000000" w:rsidR="00000000" w:rsidRPr="00000000">
        <w:rPr>
          <w:rtl w:val="0"/>
        </w:rPr>
        <w:t xml:space="preserve">.</w:t>
      </w:r>
    </w:p>
    <w:p w:rsidR="00000000" w:rsidDel="00000000" w:rsidP="00000000" w:rsidRDefault="00000000" w:rsidRPr="00000000" w14:paraId="00000048">
      <w:pPr>
        <w:numPr>
          <w:ilvl w:val="0"/>
          <w:numId w:val="8"/>
        </w:numPr>
        <w:spacing w:after="0" w:lineRule="auto"/>
        <w:ind w:left="720" w:hanging="360"/>
        <w:rPr/>
      </w:pPr>
      <w:r w:rsidDel="00000000" w:rsidR="00000000" w:rsidRPr="00000000">
        <w:rPr>
          <w:rtl w:val="0"/>
        </w:rPr>
        <w:t xml:space="preserve">Entries may be submitted by individual(s) or organisation(s) who are entitled to represent the initiative, as long as they have included the consent from the owner of the related heritage site or collection (for category Conservation), from the author or owner/leader of the project (for categories Research, Education, Training &amp; Skills and Citizens Engagement &amp; Awareness-raising), or from the nominee (for category Heritage Champions). You must inform all associated partners and stakeholders that you are applying.</w:t>
      </w:r>
    </w:p>
    <w:p w:rsidR="00000000" w:rsidDel="00000000" w:rsidP="00000000" w:rsidRDefault="00000000" w:rsidRPr="00000000" w14:paraId="00000049">
      <w:pPr>
        <w:numPr>
          <w:ilvl w:val="0"/>
          <w:numId w:val="8"/>
        </w:numPr>
        <w:spacing w:after="0" w:lineRule="auto"/>
        <w:ind w:left="720" w:hanging="360"/>
        <w:rPr/>
      </w:pPr>
      <w:r w:rsidDel="00000000" w:rsidR="00000000" w:rsidRPr="00000000">
        <w:rPr>
          <w:rtl w:val="0"/>
        </w:rPr>
        <w:t xml:space="preserve">Entries may be re-submitted once, with the necessary adapted text of the entry dossier and/or with additional documentation.</w:t>
      </w:r>
    </w:p>
    <w:p w:rsidR="00000000" w:rsidDel="00000000" w:rsidP="00000000" w:rsidRDefault="00000000" w:rsidRPr="00000000" w14:paraId="0000004A">
      <w:pPr>
        <w:numPr>
          <w:ilvl w:val="0"/>
          <w:numId w:val="8"/>
        </w:numPr>
        <w:spacing w:after="0" w:lineRule="auto"/>
        <w:ind w:left="720" w:hanging="360"/>
        <w:rPr/>
      </w:pPr>
      <w:r w:rsidDel="00000000" w:rsidR="00000000" w:rsidRPr="00000000">
        <w:rPr>
          <w:rtl w:val="0"/>
        </w:rPr>
        <w:t xml:space="preserve">Incomplete entries will not be considered.</w:t>
      </w:r>
    </w:p>
    <w:p w:rsidR="00000000" w:rsidDel="00000000" w:rsidP="00000000" w:rsidRDefault="00000000" w:rsidRPr="00000000" w14:paraId="0000004B">
      <w:pPr>
        <w:numPr>
          <w:ilvl w:val="0"/>
          <w:numId w:val="8"/>
        </w:numPr>
        <w:spacing w:after="0" w:lineRule="auto"/>
        <w:ind w:left="720" w:hanging="360"/>
        <w:rPr/>
      </w:pPr>
      <w:r w:rsidDel="00000000" w:rsidR="00000000" w:rsidRPr="00000000">
        <w:rPr>
          <w:rtl w:val="0"/>
        </w:rPr>
        <w:t xml:space="preserve">Entries must be submitted in English.</w:t>
      </w:r>
    </w:p>
    <w:p w:rsidR="00000000" w:rsidDel="00000000" w:rsidP="00000000" w:rsidRDefault="00000000" w:rsidRPr="00000000" w14:paraId="0000004C">
      <w:pPr>
        <w:numPr>
          <w:ilvl w:val="0"/>
          <w:numId w:val="8"/>
        </w:numPr>
        <w:spacing w:after="0" w:lineRule="auto"/>
        <w:ind w:left="720" w:hanging="360"/>
        <w:rPr/>
      </w:pPr>
      <w:r w:rsidDel="00000000" w:rsidR="00000000" w:rsidRPr="00000000">
        <w:rPr>
          <w:rtl w:val="0"/>
        </w:rPr>
        <w:t xml:space="preserve">By submitting an entry, the entrant agrees to the processing and sharing of data in accordance with Europa Nostra’</w:t>
      </w:r>
      <w:r w:rsidDel="00000000" w:rsidR="00000000" w:rsidRPr="00000000">
        <w:rPr>
          <w:i w:val="1"/>
          <w:rtl w:val="0"/>
        </w:rPr>
        <w:t xml:space="preserve">s </w:t>
      </w:r>
      <w:hyperlink r:id="rId13">
        <w:r w:rsidDel="00000000" w:rsidR="00000000" w:rsidRPr="00000000">
          <w:rPr>
            <w:i w:val="1"/>
            <w:color w:val="1155cc"/>
            <w:u w:val="single"/>
            <w:rtl w:val="0"/>
          </w:rPr>
          <w:t xml:space="preserve">Privacy Policy</w:t>
        </w:r>
      </w:hyperlink>
      <w:r w:rsidDel="00000000" w:rsidR="00000000" w:rsidRPr="00000000">
        <w:rPr>
          <w:i w:val="1"/>
          <w:color w:val="1155cc"/>
          <w:u w:val="single"/>
          <w:rtl w:val="0"/>
        </w:rPr>
        <w:t xml:space="preserve">. </w:t>
      </w:r>
      <w:r w:rsidDel="00000000" w:rsidR="00000000" w:rsidRPr="00000000">
        <w:rPr>
          <w:rtl w:val="0"/>
        </w:rPr>
      </w:r>
    </w:p>
    <w:p w:rsidR="00000000" w:rsidDel="00000000" w:rsidP="00000000" w:rsidRDefault="00000000" w:rsidRPr="00000000" w14:paraId="0000004D">
      <w:pPr>
        <w:numPr>
          <w:ilvl w:val="0"/>
          <w:numId w:val="8"/>
        </w:numPr>
        <w:spacing w:after="0" w:lineRule="auto"/>
        <w:ind w:left="720" w:hanging="360"/>
        <w:rPr/>
      </w:pPr>
      <w:r w:rsidDel="00000000" w:rsidR="00000000" w:rsidRPr="00000000">
        <w:rPr>
          <w:rtl w:val="0"/>
        </w:rPr>
        <w:t xml:space="preserve">Receipt of an entry dossier will be acknowledged by an automatic system.</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b w:val="1"/>
          <w:i w:val="1"/>
          <w:sz w:val="30"/>
          <w:szCs w:val="30"/>
        </w:rPr>
      </w:pPr>
      <w:r w:rsidDel="00000000" w:rsidR="00000000" w:rsidRPr="00000000">
        <w:rPr>
          <w:b w:val="1"/>
          <w:i w:val="1"/>
          <w:sz w:val="30"/>
          <w:szCs w:val="30"/>
          <w:rtl w:val="0"/>
        </w:rPr>
        <w:t xml:space="preserve">Overarching Selection Criteria </w:t>
      </w:r>
    </w:p>
    <w:p w:rsidR="00000000" w:rsidDel="00000000" w:rsidP="00000000" w:rsidRDefault="00000000" w:rsidRPr="00000000" w14:paraId="00000050">
      <w:pPr>
        <w:spacing w:after="240" w:before="240" w:lineRule="auto"/>
        <w:rPr/>
      </w:pPr>
      <w:r w:rsidDel="00000000" w:rsidR="00000000" w:rsidRPr="00000000">
        <w:rPr>
          <w:rtl w:val="0"/>
        </w:rPr>
        <w:t xml:space="preserve">The following are the overarching qualitative criteria for the selection of submitted entries in all award categories. </w:t>
      </w:r>
    </w:p>
    <w:p w:rsidR="00000000" w:rsidDel="00000000" w:rsidP="00000000" w:rsidRDefault="00000000" w:rsidRPr="00000000" w14:paraId="00000051">
      <w:pPr>
        <w:widowControl w:val="0"/>
        <w:spacing w:line="240" w:lineRule="auto"/>
        <w:rPr/>
      </w:pPr>
      <w:r w:rsidDel="00000000" w:rsidR="00000000" w:rsidRPr="00000000">
        <w:rPr>
          <w:b w:val="1"/>
          <w:rtl w:val="0"/>
        </w:rPr>
        <w:t xml:space="preserve">1. Quality</w:t>
      </w:r>
      <w:r w:rsidDel="00000000" w:rsidR="00000000" w:rsidRPr="00000000">
        <w:rPr>
          <w:rtl w:val="0"/>
        </w:rPr>
        <w:t xml:space="preserve"> </w:t>
      </w:r>
    </w:p>
    <w:p w:rsidR="00000000" w:rsidDel="00000000" w:rsidP="00000000" w:rsidRDefault="00000000" w:rsidRPr="00000000" w14:paraId="00000052">
      <w:pPr>
        <w:widowControl w:val="0"/>
        <w:spacing w:line="240" w:lineRule="auto"/>
        <w:rPr>
          <w:color w:val="1155cc"/>
          <w:u w:val="single"/>
        </w:rPr>
      </w:pPr>
      <w:r w:rsidDel="00000000" w:rsidR="00000000" w:rsidRPr="00000000">
        <w:rPr>
          <w:rtl w:val="0"/>
        </w:rPr>
        <w:t xml:space="preserve">The selected entries should represent the highest quality of best practice in the heritage sector and be fully in line with professional European and International standards, among which the </w:t>
      </w:r>
      <w:hyperlink r:id="rId14">
        <w:r w:rsidDel="00000000" w:rsidR="00000000" w:rsidRPr="00000000">
          <w:rPr>
            <w:color w:val="1155cc"/>
            <w:u w:val="single"/>
            <w:rtl w:val="0"/>
          </w:rPr>
          <w:t xml:space="preserve">Faro Convention on the Value of Cultural Heritage for Society</w:t>
        </w:r>
      </w:hyperlink>
      <w:r w:rsidDel="00000000" w:rsidR="00000000" w:rsidRPr="00000000">
        <w:rPr>
          <w:rtl w:val="0"/>
        </w:rPr>
        <w:t xml:space="preserve">, adopted under the auspices of the Council of Europe, the </w:t>
      </w:r>
      <w:hyperlink r:id="rId15">
        <w:r w:rsidDel="00000000" w:rsidR="00000000" w:rsidRPr="00000000">
          <w:rPr>
            <w:color w:val="1155cc"/>
            <w:u w:val="single"/>
            <w:rtl w:val="0"/>
          </w:rPr>
          <w:t xml:space="preserve">European quality principles for EU-funded interventions</w:t>
        </w:r>
      </w:hyperlink>
      <w:r w:rsidDel="00000000" w:rsidR="00000000" w:rsidRPr="00000000">
        <w:rPr>
          <w:rtl w:val="0"/>
        </w:rPr>
        <w:t xml:space="preserve"> prepared by ICOMOS, the </w:t>
      </w:r>
      <w:hyperlink r:id="rId16">
        <w:r w:rsidDel="00000000" w:rsidR="00000000" w:rsidRPr="00000000">
          <w:rPr>
            <w:color w:val="1155cc"/>
            <w:u w:val="single"/>
            <w:rtl w:val="0"/>
          </w:rPr>
          <w:t xml:space="preserve">Davos Baukultur Quality Principles</w:t>
        </w:r>
      </w:hyperlink>
      <w:r w:rsidDel="00000000" w:rsidR="00000000" w:rsidRPr="00000000">
        <w:rPr>
          <w:rtl w:val="0"/>
        </w:rPr>
        <w:t xml:space="preserve"> and the principles of the </w:t>
      </w:r>
      <w:hyperlink r:id="rId17">
        <w:r w:rsidDel="00000000" w:rsidR="00000000" w:rsidRPr="00000000">
          <w:rPr>
            <w:color w:val="1155cc"/>
            <w:u w:val="single"/>
            <w:rtl w:val="0"/>
          </w:rPr>
          <w:t xml:space="preserve">New European Bauhaus</w:t>
        </w:r>
      </w:hyperlink>
      <w:r w:rsidDel="00000000" w:rsidR="00000000" w:rsidRPr="00000000">
        <w:rPr>
          <w:rtl w:val="0"/>
        </w:rPr>
        <w:t xml:space="preserve">.</w:t>
      </w:r>
      <w:r w:rsidDel="00000000" w:rsidR="00000000" w:rsidRPr="00000000">
        <w:rPr>
          <w:color w:val="1155cc"/>
          <w:u w:val="single"/>
          <w:rtl w:val="0"/>
        </w:rPr>
        <w:t xml:space="preserve"> </w:t>
      </w: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b w:val="1"/>
          <w:rtl w:val="0"/>
        </w:rPr>
        <w:t xml:space="preserve">2. European significance</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The selected entries should contribute to developing a sense of belonging to a European community and shape a common European identity; exemplify how cultural heritage is a driver for international cooperation; have significance and relevance for Europe’s integration and social cohesion; and/or be exemplary of European shared values. This includes embracing the value of “unity in diversity” in Europe as well as championing the value of peace and mutual trust and understanding between culture and communities. </w:t>
      </w:r>
    </w:p>
    <w:p w:rsidR="00000000" w:rsidDel="00000000" w:rsidP="00000000" w:rsidRDefault="00000000" w:rsidRPr="00000000" w14:paraId="00000055">
      <w:pPr>
        <w:rPr/>
      </w:pPr>
      <w:r w:rsidDel="00000000" w:rsidR="00000000" w:rsidRPr="00000000">
        <w:rPr>
          <w:b w:val="1"/>
          <w:rtl w:val="0"/>
        </w:rPr>
        <w:t xml:space="preserve">3. Community engagement</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selected entries should demonstrate interaction of the community with the heritage, the urban or landscape context and its contribution to the improvement of this context. The selected entries should demonstrate how heritage relies on communities for giving meaning and preserving the notion of authenticity - this is especially relevant in terms of sustainable tourism and residents’ well-being. Community engagement also entails providing access to heritage (including marginalised areas of heritage) and activities which promote social inclusion in heritage (for instance, the active engagement of communities of people or members of society who are not usually engaged in heritage activities).</w:t>
      </w:r>
    </w:p>
    <w:p w:rsidR="00000000" w:rsidDel="00000000" w:rsidP="00000000" w:rsidRDefault="00000000" w:rsidRPr="00000000" w14:paraId="00000057">
      <w:pPr>
        <w:spacing w:line="240" w:lineRule="auto"/>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Results/impact</w:t>
      </w:r>
    </w:p>
    <w:p w:rsidR="00000000" w:rsidDel="00000000" w:rsidP="00000000" w:rsidRDefault="00000000" w:rsidRPr="00000000" w14:paraId="00000058">
      <w:pPr>
        <w:spacing w:line="240" w:lineRule="auto"/>
        <w:rPr/>
      </w:pPr>
      <w:r w:rsidDel="00000000" w:rsidR="00000000" w:rsidRPr="00000000">
        <w:rPr>
          <w:rtl w:val="0"/>
        </w:rPr>
        <w:t xml:space="preserve">The selected entries should demonstrate</w:t>
      </w:r>
      <w:r w:rsidDel="00000000" w:rsidR="00000000" w:rsidRPr="00000000">
        <w:rPr>
          <w:b w:val="1"/>
          <w:rtl w:val="0"/>
        </w:rPr>
        <w:t xml:space="preserve"> </w:t>
      </w:r>
      <w:r w:rsidDel="00000000" w:rsidR="00000000" w:rsidRPr="00000000">
        <w:rPr>
          <w:rtl w:val="0"/>
        </w:rPr>
        <w:t xml:space="preserve">that they have achieved outstanding qualitative and quantitative results within the available resources. The results achieved must have generated an improvement for heritage sites/assets, as well as for their users and other stakeholders in the given context.</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5. Knowledge transfer and dissemination</w:t>
      </w:r>
      <w:r w:rsidDel="00000000" w:rsidR="00000000" w:rsidRPr="00000000">
        <w:rPr>
          <w:rtl w:val="0"/>
        </w:rPr>
        <w:t xml:space="preserve"> </w:t>
      </w:r>
    </w:p>
    <w:p w:rsidR="00000000" w:rsidDel="00000000" w:rsidP="00000000" w:rsidRDefault="00000000" w:rsidRPr="00000000" w14:paraId="0000005B">
      <w:pPr>
        <w:rPr>
          <w:b w:val="1"/>
        </w:rPr>
      </w:pPr>
      <w:r w:rsidDel="00000000" w:rsidR="00000000" w:rsidRPr="00000000">
        <w:rPr>
          <w:rtl w:val="0"/>
        </w:rPr>
        <w:t xml:space="preserve">The selected entries should demonstrate that knowledge about heritage has been enlarged and/or deepened and subsequently shared and disseminated. The selected entries should be exemplary in nature and transferable or applicable to different contexts, based on clear documentation and communication of the methodology and principles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b w:val="1"/>
          <w:i w:val="1"/>
          <w:sz w:val="30"/>
          <w:szCs w:val="30"/>
        </w:rPr>
      </w:pPr>
      <w:r w:rsidDel="00000000" w:rsidR="00000000" w:rsidRPr="00000000">
        <w:rPr>
          <w:b w:val="1"/>
          <w:i w:val="1"/>
          <w:sz w:val="30"/>
          <w:szCs w:val="30"/>
          <w:rtl w:val="0"/>
        </w:rPr>
        <w:t xml:space="preserve">Criteria for the Selection of the Grand Prix Winners</w:t>
      </w:r>
    </w:p>
    <w:p w:rsidR="00000000" w:rsidDel="00000000" w:rsidP="00000000" w:rsidRDefault="00000000" w:rsidRPr="00000000" w14:paraId="0000005E">
      <w:pPr>
        <w:rPr/>
      </w:pPr>
      <w:r w:rsidDel="00000000" w:rsidR="00000000" w:rsidRPr="00000000">
        <w:rPr>
          <w:rtl w:val="0"/>
        </w:rPr>
        <w:t xml:space="preserve">Up to five Grand Prix are awarded to the most outstanding projects among the winners of the Awards, according to the general criteria for the selection of award winners (above), and the specific criteria for the selection of the winners of the Grand Prix.</w:t>
      </w:r>
    </w:p>
    <w:p w:rsidR="00000000" w:rsidDel="00000000" w:rsidP="00000000" w:rsidRDefault="00000000" w:rsidRPr="00000000" w14:paraId="0000005F">
      <w:pPr>
        <w:rPr/>
      </w:pPr>
      <w:r w:rsidDel="00000000" w:rsidR="00000000" w:rsidRPr="00000000">
        <w:rPr>
          <w:rtl w:val="0"/>
        </w:rPr>
        <w:t xml:space="preserve"> The following are the transversal themes which are considered to be key priorities for the selection of the Grand Prix winners and the criteria by which projects exhibiting these qualities are defined.</w:t>
      </w:r>
    </w:p>
    <w:p w:rsidR="00000000" w:rsidDel="00000000" w:rsidP="00000000" w:rsidRDefault="00000000" w:rsidRPr="00000000" w14:paraId="00000060">
      <w:pPr>
        <w:rPr>
          <w:b w:val="1"/>
        </w:rPr>
      </w:pPr>
      <w:r w:rsidDel="00000000" w:rsidR="00000000" w:rsidRPr="00000000">
        <w:rPr>
          <w:rtl w:val="0"/>
        </w:rPr>
        <w:t xml:space="preserve"> </w:t>
      </w:r>
      <w:r w:rsidDel="00000000" w:rsidR="00000000" w:rsidRPr="00000000">
        <w:rPr>
          <w:b w:val="1"/>
          <w:rtl w:val="0"/>
        </w:rPr>
        <w:t xml:space="preserve">Innovation </w:t>
      </w:r>
    </w:p>
    <w:p w:rsidR="00000000" w:rsidDel="00000000" w:rsidP="00000000" w:rsidRDefault="00000000" w:rsidRPr="00000000" w14:paraId="00000061">
      <w:pPr>
        <w:rPr>
          <w:b w:val="1"/>
        </w:rPr>
      </w:pPr>
      <w:r w:rsidDel="00000000" w:rsidR="00000000" w:rsidRPr="00000000">
        <w:rPr>
          <w:rtl w:val="0"/>
        </w:rPr>
        <w:t xml:space="preserve">Projects or initiatives which implement new ideas, knowledge or methods and generate an improvement for heritage, its users and stakeholders in the current or previous context, also in terms of well-being. </w:t>
      </w:r>
      <w:r w:rsidDel="00000000" w:rsidR="00000000" w:rsidRPr="00000000">
        <w:rPr>
          <w:rtl w:val="0"/>
        </w:rPr>
        <w:t xml:space="preserve">They should be h</w:t>
      </w:r>
      <w:r w:rsidDel="00000000" w:rsidR="00000000" w:rsidRPr="00000000">
        <w:rPr>
          <w:rtl w:val="0"/>
        </w:rPr>
        <w:t xml:space="preserve">ighly innovative (innovation being conceived in one or more different areas, such as cultural, political, economic, social, technological, legal and/or environmental) and feasible to implement in other locations and with high potential for transferability.</w:t>
      </w: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Digital Transformation</w:t>
      </w:r>
    </w:p>
    <w:p w:rsidR="00000000" w:rsidDel="00000000" w:rsidP="00000000" w:rsidRDefault="00000000" w:rsidRPr="00000000" w14:paraId="00000063">
      <w:pPr>
        <w:rPr/>
      </w:pPr>
      <w:r w:rsidDel="00000000" w:rsidR="00000000" w:rsidRPr="00000000">
        <w:rPr>
          <w:rtl w:val="0"/>
        </w:rPr>
        <w:t xml:space="preserve">Projects or initiatives which use digital technology to deliver value to users, audiences and communities and/or contribute to the transformation of the heritage sector powered by digital means. They should be </w:t>
      </w:r>
      <w:r w:rsidDel="00000000" w:rsidR="00000000" w:rsidRPr="00000000">
        <w:rPr>
          <w:rtl w:val="0"/>
        </w:rPr>
        <w:t xml:space="preserve">Interdisciplinary in nature, with high potential for transferability and should m</w:t>
      </w:r>
      <w:r w:rsidDel="00000000" w:rsidR="00000000" w:rsidRPr="00000000">
        <w:rPr>
          <w:rtl w:val="0"/>
        </w:rPr>
        <w:t xml:space="preserve">ake heritage accessible through the digitialisation or digitisation of heritage collections or tools.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These projects / initiatives should be innovative and create solutions for contemporary issues facing cultural heritage with the help of digital technologies (these tools can be newly created or newly applied to heritage settings/assets).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b w:val="1"/>
        </w:rPr>
      </w:pPr>
      <w:r w:rsidDel="00000000" w:rsidR="00000000" w:rsidRPr="00000000">
        <w:rPr>
          <w:b w:val="1"/>
          <w:rtl w:val="0"/>
        </w:rPr>
        <w:t xml:space="preserve">Sustainability &amp; Climate Action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t xml:space="preserve">Projects or initiatives which demonstrate the capacities of cultural heritage to assess and/or mitigate the effects of climate change and contribute to key areas of the European Green Deal, including Clean Energy, Circular Economy, the Renovation Wave, Smart Mobility, Farm to Fork, Green Finance and a Just Transition, Research and Innovation, Education and Training, as well as Green Deal Diplomacy.</w:t>
      </w:r>
    </w:p>
    <w:p w:rsidR="00000000" w:rsidDel="00000000" w:rsidP="00000000" w:rsidRDefault="00000000" w:rsidRPr="00000000" w14:paraId="00000067">
      <w:pPr>
        <w:rPr>
          <w:b w:val="1"/>
        </w:rPr>
      </w:pPr>
      <w:r w:rsidDel="00000000" w:rsidR="00000000" w:rsidRPr="00000000">
        <w:rPr>
          <w:rtl w:val="0"/>
        </w:rPr>
        <w:t xml:space="preserve">These projects/initiatives should be interdisciplinary in nature, with high potential for transferability and demonstrate the special relevance of heritage to climate action. They should be i</w:t>
      </w:r>
      <w:r w:rsidDel="00000000" w:rsidR="00000000" w:rsidRPr="00000000">
        <w:rPr>
          <w:rtl w:val="0"/>
        </w:rPr>
        <w:t xml:space="preserve">nnovative and create solutions for the multiple effects and challenges caused by the climate crisis and raise awareness and empower the communities most affected by the climate crisis.</w:t>
      </w: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Social Cohesion &amp; Well-being</w:t>
      </w:r>
    </w:p>
    <w:p w:rsidR="00000000" w:rsidDel="00000000" w:rsidP="00000000" w:rsidRDefault="00000000" w:rsidRPr="00000000" w14:paraId="00000069">
      <w:pPr>
        <w:rPr>
          <w:b w:val="1"/>
        </w:rPr>
      </w:pPr>
      <w:r w:rsidDel="00000000" w:rsidR="00000000" w:rsidRPr="00000000">
        <w:rPr>
          <w:rtl w:val="0"/>
        </w:rPr>
        <w:t xml:space="preserve">Projects and initiatives which show the relevance of heritage for the positive integration and exchange between different age groups or communities as well as the significance of heritage to the health (physical and mental) and well-being of individuals and their communities.</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They</w:t>
      </w:r>
      <w:r w:rsidDel="00000000" w:rsidR="00000000" w:rsidRPr="00000000">
        <w:rPr>
          <w:rtl w:val="0"/>
        </w:rPr>
        <w:t xml:space="preserve"> include and empower marginalised or underrepresented people in heritage activities and/or are activities that are created and led by marginalised or underrepresented people in heritage activities</w:t>
      </w:r>
    </w:p>
    <w:p w:rsidR="00000000" w:rsidDel="00000000" w:rsidP="00000000" w:rsidRDefault="00000000" w:rsidRPr="00000000" w14:paraId="0000006B">
      <w:pPr>
        <w:spacing w:after="0" w:line="276" w:lineRule="auto"/>
        <w:ind w:left="0" w:firstLine="0"/>
        <w:rPr/>
      </w:pPr>
      <w:r w:rsidDel="00000000" w:rsidR="00000000" w:rsidRPr="00000000">
        <w:rPr>
          <w:rtl w:val="0"/>
        </w:rPr>
        <w:t xml:space="preserve">These projects/initiatives should contribute to the improvement of individual and collective well-being and quality of life, including in terms of physical and mental health, happiness and life satisfaction. They should help in allowing individuals and their communities realise their full potential and engage in society to their fullest capacity.</w:t>
      </w:r>
    </w:p>
    <w:p w:rsidR="00000000" w:rsidDel="00000000" w:rsidP="00000000" w:rsidRDefault="00000000" w:rsidRPr="00000000" w14:paraId="0000006C">
      <w:pPr>
        <w:spacing w:after="0" w:line="276" w:lineRule="auto"/>
        <w:ind w:left="720" w:firstLine="0"/>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International Relations</w:t>
      </w:r>
    </w:p>
    <w:p w:rsidR="00000000" w:rsidDel="00000000" w:rsidP="00000000" w:rsidRDefault="00000000" w:rsidRPr="00000000" w14:paraId="0000006E">
      <w:pPr>
        <w:rPr>
          <w:i w:val="1"/>
        </w:rPr>
      </w:pPr>
      <w:r w:rsidDel="00000000" w:rsidR="00000000" w:rsidRPr="00000000">
        <w:rPr>
          <w:i w:val="1"/>
          <w:rtl w:val="0"/>
        </w:rPr>
        <w:t xml:space="preserve">Projects and initiatives which build relations and cooperation between countries and/or communities through, among others, sharing expertise, capacity building, joining resources or community engagement activities.</w:t>
      </w:r>
    </w:p>
    <w:p w:rsidR="00000000" w:rsidDel="00000000" w:rsidP="00000000" w:rsidRDefault="00000000" w:rsidRPr="00000000" w14:paraId="0000006F">
      <w:pPr>
        <w:spacing w:after="0" w:line="276" w:lineRule="auto"/>
        <w:ind w:left="0" w:firstLine="0"/>
        <w:rPr/>
      </w:pPr>
      <w:r w:rsidDel="00000000" w:rsidR="00000000" w:rsidRPr="00000000">
        <w:rPr>
          <w:rtl w:val="0"/>
        </w:rPr>
        <w:t xml:space="preserve">They should u</w:t>
      </w:r>
      <w:r w:rsidDel="00000000" w:rsidR="00000000" w:rsidRPr="00000000">
        <w:rPr>
          <w:rtl w:val="0"/>
        </w:rPr>
        <w:t xml:space="preserve">ncover, demonstrate and promote the shared cultural heritage-related knowledge and values of two or more countries and/or communities and generate an improvement for heritage, its users and stakeholders in the present or past context (that may include one or more among the cultural, political, economic, social, technological, legal, environmental dimensions or axes).</w:t>
      </w:r>
    </w:p>
    <w:p w:rsidR="00000000" w:rsidDel="00000000" w:rsidP="00000000" w:rsidRDefault="00000000" w:rsidRPr="00000000" w14:paraId="00000070">
      <w:pPr>
        <w:spacing w:after="0" w:line="276" w:lineRule="auto"/>
        <w:ind w:left="0" w:firstLine="0"/>
        <w:rPr/>
      </w:pPr>
      <w:r w:rsidDel="00000000" w:rsidR="00000000" w:rsidRPr="00000000">
        <w:rPr>
          <w:rtl w:val="0"/>
        </w:rPr>
        <w:t xml:space="preserve">These project/initiatives should foster international cultural relations, peace and trust building, reconciliation and better mutual respect and understanding across nations and communities.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b w:val="1"/>
          <w:i w:val="1"/>
          <w:sz w:val="30"/>
          <w:szCs w:val="30"/>
        </w:rPr>
      </w:pPr>
      <w:bookmarkStart w:colFirst="0" w:colLast="0" w:name="_heading=h.30j0zll" w:id="2"/>
      <w:bookmarkEnd w:id="2"/>
      <w:r w:rsidDel="00000000" w:rsidR="00000000" w:rsidRPr="00000000">
        <w:rPr>
          <w:b w:val="1"/>
          <w:i w:val="1"/>
          <w:sz w:val="30"/>
          <w:szCs w:val="30"/>
          <w:rtl w:val="0"/>
        </w:rPr>
        <w:t xml:space="preserve">The Selection Process</w:t>
      </w:r>
    </w:p>
    <w:p w:rsidR="00000000" w:rsidDel="00000000" w:rsidP="00000000" w:rsidRDefault="00000000" w:rsidRPr="00000000" w14:paraId="00000073">
      <w:pPr>
        <w:numPr>
          <w:ilvl w:val="3"/>
          <w:numId w:val="1"/>
        </w:numPr>
        <w:pBdr>
          <w:top w:space="0" w:sz="0" w:val="nil"/>
          <w:left w:space="0" w:sz="0" w:val="nil"/>
          <w:bottom w:space="0" w:sz="0" w:val="nil"/>
          <w:right w:space="0" w:sz="0" w:val="nil"/>
          <w:between w:space="0" w:sz="0" w:val="nil"/>
        </w:pBdr>
        <w:spacing w:after="240" w:before="240" w:line="276" w:lineRule="auto"/>
        <w:ind w:left="284" w:hanging="284"/>
        <w:jc w:val="both"/>
        <w:rPr>
          <w:b w:val="1"/>
          <w:color w:val="000000"/>
        </w:rPr>
      </w:pPr>
      <w:r w:rsidDel="00000000" w:rsidR="00000000" w:rsidRPr="00000000">
        <w:rPr>
          <w:b w:val="1"/>
          <w:color w:val="000000"/>
          <w:rtl w:val="0"/>
        </w:rPr>
        <w:t xml:space="preserve">Preliminary screening of the entries against the eligibility criteria by the staff of Europa Nostra.</w:t>
      </w:r>
    </w:p>
    <w:p w:rsidR="00000000" w:rsidDel="00000000" w:rsidP="00000000" w:rsidRDefault="00000000" w:rsidRPr="00000000" w14:paraId="00000074">
      <w:pPr>
        <w:numPr>
          <w:ilvl w:val="3"/>
          <w:numId w:val="1"/>
        </w:numPr>
        <w:pBdr>
          <w:top w:space="0" w:sz="0" w:val="nil"/>
          <w:left w:space="0" w:sz="0" w:val="nil"/>
          <w:bottom w:space="0" w:sz="0" w:val="nil"/>
          <w:right w:space="0" w:sz="0" w:val="nil"/>
          <w:between w:space="0" w:sz="0" w:val="nil"/>
        </w:pBdr>
        <w:spacing w:after="0" w:line="276" w:lineRule="auto"/>
        <w:ind w:left="284" w:hanging="284"/>
        <w:jc w:val="both"/>
        <w:rPr>
          <w:b w:val="1"/>
          <w:color w:val="000000"/>
        </w:rPr>
      </w:pPr>
      <w:r w:rsidDel="00000000" w:rsidR="00000000" w:rsidRPr="00000000">
        <w:rPr>
          <w:b w:val="1"/>
          <w:color w:val="000000"/>
          <w:rtl w:val="0"/>
        </w:rPr>
        <w:t xml:space="preserve">Examination of the eligible entries and selection of a shortlist of up to projects by the five </w:t>
      </w:r>
      <w:r w:rsidDel="00000000" w:rsidR="00000000" w:rsidRPr="00000000">
        <w:rPr>
          <w:b w:val="1"/>
          <w:rtl w:val="0"/>
        </w:rPr>
        <w:t xml:space="preserve">S</w:t>
      </w:r>
      <w:r w:rsidDel="00000000" w:rsidR="00000000" w:rsidRPr="00000000">
        <w:rPr>
          <w:b w:val="1"/>
          <w:color w:val="000000"/>
          <w:rtl w:val="0"/>
        </w:rPr>
        <w:t xml:space="preserve">election </w:t>
      </w:r>
      <w:r w:rsidDel="00000000" w:rsidR="00000000" w:rsidRPr="00000000">
        <w:rPr>
          <w:b w:val="1"/>
          <w:rtl w:val="0"/>
        </w:rPr>
        <w:t xml:space="preserve">C</w:t>
      </w:r>
      <w:r w:rsidDel="00000000" w:rsidR="00000000" w:rsidRPr="00000000">
        <w:rPr>
          <w:b w:val="1"/>
          <w:color w:val="000000"/>
          <w:rtl w:val="0"/>
        </w:rPr>
        <w:t xml:space="preserve">ommittees.</w:t>
      </w:r>
    </w:p>
    <w:p w:rsidR="00000000" w:rsidDel="00000000" w:rsidP="00000000" w:rsidRDefault="00000000" w:rsidRPr="00000000" w14:paraId="00000075">
      <w:pPr>
        <w:spacing w:after="0" w:lineRule="auto"/>
        <w:jc w:val="both"/>
        <w:rPr/>
      </w:pPr>
      <w:r w:rsidDel="00000000" w:rsidR="00000000" w:rsidRPr="00000000">
        <w:rPr>
          <w:rtl w:val="0"/>
        </w:rPr>
        <w:t xml:space="preserve">Five Selection Committees (one for each category) will thoroughly examine, evaluate and discuss all eligible submitted dossiers in a series of online and/or in-person meetings and will shortlist up to 60 projects across the categories, in proportion to the number of entries per category.</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b w:val="1"/>
        </w:rPr>
      </w:pPr>
      <w:r w:rsidDel="00000000" w:rsidR="00000000" w:rsidRPr="00000000">
        <w:rPr>
          <w:b w:val="1"/>
          <w:rtl w:val="0"/>
        </w:rPr>
        <w:t xml:space="preserve">3. Assessment of up to shortlisted projects </w:t>
      </w:r>
      <w:r w:rsidDel="00000000" w:rsidR="00000000" w:rsidRPr="00000000">
        <w:rPr>
          <w:b w:val="1"/>
          <w:i w:val="1"/>
          <w:rtl w:val="0"/>
        </w:rPr>
        <w:t xml:space="preserve">in situ</w:t>
      </w:r>
      <w:r w:rsidDel="00000000" w:rsidR="00000000" w:rsidRPr="00000000">
        <w:rPr>
          <w:b w:val="1"/>
          <w:rtl w:val="0"/>
        </w:rPr>
        <w:t xml:space="preserve"> by local experts with written reports.</w:t>
      </w:r>
    </w:p>
    <w:p w:rsidR="00000000" w:rsidDel="00000000" w:rsidP="00000000" w:rsidRDefault="00000000" w:rsidRPr="00000000" w14:paraId="00000078">
      <w:pPr>
        <w:spacing w:after="0" w:line="240" w:lineRule="auto"/>
        <w:jc w:val="both"/>
        <w:rPr/>
      </w:pPr>
      <w:r w:rsidDel="00000000" w:rsidR="00000000" w:rsidRPr="00000000">
        <w:rPr>
          <w:rtl w:val="0"/>
        </w:rPr>
        <w:t xml:space="preserve">After visiting the site/project (if conditions allow) or interviewing the applicant/nominated individual or organisation via a video call or a phone call, the assessors will submit a written report in accordance with the assessment guidelines and a standard report form provided by Europa Nostra. These reports have an advisory value and will be made available to the Jury/Board of Europa Nostra prior to and during their meeting to select the Award and Grand Prix Winners. The assessment reports are confidential and are not shared with the entrant/nominator.</w:t>
      </w:r>
    </w:p>
    <w:p w:rsidR="00000000" w:rsidDel="00000000" w:rsidP="00000000" w:rsidRDefault="00000000" w:rsidRPr="00000000" w14:paraId="00000079">
      <w:pPr>
        <w:spacing w:after="0" w:line="240" w:lineRule="auto"/>
        <w:jc w:val="both"/>
        <w:rPr/>
      </w:pPr>
      <w:r w:rsidDel="00000000" w:rsidR="00000000" w:rsidRPr="00000000">
        <w:rPr>
          <w:rtl w:val="0"/>
        </w:rPr>
      </w:r>
    </w:p>
    <w:p w:rsidR="00000000" w:rsidDel="00000000" w:rsidP="00000000" w:rsidRDefault="00000000" w:rsidRPr="00000000" w14:paraId="0000007A">
      <w:pPr>
        <w:spacing w:after="0" w:line="240" w:lineRule="auto"/>
        <w:jc w:val="both"/>
        <w:rPr>
          <w:b w:val="1"/>
        </w:rPr>
      </w:pPr>
      <w:r w:rsidDel="00000000" w:rsidR="00000000" w:rsidRPr="00000000">
        <w:rPr>
          <w:b w:val="1"/>
          <w:rtl w:val="0"/>
        </w:rPr>
        <w:t xml:space="preserve">4. Evaluation and final selection of up to 30 winners of the Awards and shortlisting of up to 15 Grand Prix candidates by the Heritage Awards Jury.</w:t>
      </w:r>
    </w:p>
    <w:p w:rsidR="00000000" w:rsidDel="00000000" w:rsidP="00000000" w:rsidRDefault="00000000" w:rsidRPr="00000000" w14:paraId="0000007B">
      <w:pPr>
        <w:spacing w:after="0" w:line="240" w:lineRule="auto"/>
        <w:jc w:val="both"/>
        <w:rPr/>
      </w:pPr>
      <w:r w:rsidDel="00000000" w:rsidR="00000000" w:rsidRPr="00000000">
        <w:rPr>
          <w:rtl w:val="0"/>
        </w:rPr>
        <w:t xml:space="preserve">The Jury will evaluate the shortlisted projects across categories ensuring a balanced spread of the Awards in geographical terms and also in terms of types of heritage and heritage achievements.</w:t>
      </w:r>
    </w:p>
    <w:p w:rsidR="00000000" w:rsidDel="00000000" w:rsidP="00000000" w:rsidRDefault="00000000" w:rsidRPr="00000000" w14:paraId="0000007C">
      <w:pPr>
        <w:widowControl w:val="0"/>
        <w:spacing w:after="0" w:line="240" w:lineRule="auto"/>
        <w:rPr/>
      </w:pPr>
      <w:r w:rsidDel="00000000" w:rsidR="00000000" w:rsidRPr="00000000">
        <w:rPr>
          <w:rtl w:val="0"/>
        </w:rPr>
        <w:t xml:space="preserve">The Heritage Awards Jury, appointed by the Board of Europa Nostra, will be composed of each Chair of the five Selection Committees and up to ten other experts from different European countries who will cover various fields of expertise.</w:t>
      </w:r>
    </w:p>
    <w:p w:rsidR="00000000" w:rsidDel="00000000" w:rsidP="00000000" w:rsidRDefault="00000000" w:rsidRPr="00000000" w14:paraId="0000007D">
      <w:pPr>
        <w:widowControl w:val="0"/>
        <w:spacing w:after="0" w:line="240" w:lineRule="auto"/>
        <w:rPr/>
      </w:pPr>
      <w:r w:rsidDel="00000000" w:rsidR="00000000" w:rsidRPr="00000000">
        <w:rPr>
          <w:rtl w:val="0"/>
        </w:rPr>
        <w:t xml:space="preserve">Entrants will be informed of the decision of the Jury via email. The decisions of the Jury are final and correspondence may not be entered into regarding the decision of the Jury.</w:t>
      </w:r>
    </w:p>
    <w:p w:rsidR="00000000" w:rsidDel="00000000" w:rsidP="00000000" w:rsidRDefault="00000000" w:rsidRPr="00000000" w14:paraId="0000007E">
      <w:pPr>
        <w:widowControl w:val="0"/>
        <w:spacing w:after="0" w:line="240" w:lineRule="auto"/>
        <w:rPr/>
      </w:pPr>
      <w:r w:rsidDel="00000000" w:rsidR="00000000" w:rsidRPr="00000000">
        <w:rPr>
          <w:rtl w:val="0"/>
        </w:rPr>
      </w:r>
    </w:p>
    <w:p w:rsidR="00000000" w:rsidDel="00000000" w:rsidP="00000000" w:rsidRDefault="00000000" w:rsidRPr="00000000" w14:paraId="0000007F">
      <w:pPr>
        <w:spacing w:after="0" w:line="240" w:lineRule="auto"/>
        <w:jc w:val="both"/>
        <w:rPr>
          <w:b w:val="1"/>
        </w:rPr>
      </w:pPr>
      <w:r w:rsidDel="00000000" w:rsidR="00000000" w:rsidRPr="00000000">
        <w:rPr>
          <w:b w:val="1"/>
          <w:rtl w:val="0"/>
        </w:rPr>
        <w:t xml:space="preserve">5.</w:t>
      </w:r>
      <w:r w:rsidDel="00000000" w:rsidR="00000000" w:rsidRPr="00000000">
        <w:rPr>
          <w:rtl w:val="0"/>
        </w:rPr>
        <w:t xml:space="preserve"> </w:t>
      </w:r>
      <w:r w:rsidDel="00000000" w:rsidR="00000000" w:rsidRPr="00000000">
        <w:rPr>
          <w:b w:val="1"/>
          <w:rtl w:val="0"/>
        </w:rPr>
        <w:t xml:space="preserve">Selection of the (up to) five Grand Prix winners by the Board of Europa Nostra.</w:t>
      </w:r>
    </w:p>
    <w:p w:rsidR="00000000" w:rsidDel="00000000" w:rsidP="00000000" w:rsidRDefault="00000000" w:rsidRPr="00000000" w14:paraId="00000080">
      <w:pPr>
        <w:spacing w:after="0" w:line="240" w:lineRule="auto"/>
        <w:jc w:val="both"/>
        <w:rPr/>
      </w:pPr>
      <w:bookmarkStart w:colFirst="0" w:colLast="0" w:name="_heading=h.tyjcwt" w:id="3"/>
      <w:bookmarkEnd w:id="3"/>
      <w:r w:rsidDel="00000000" w:rsidR="00000000" w:rsidRPr="00000000">
        <w:rPr>
          <w:rtl w:val="0"/>
        </w:rPr>
        <w:t xml:space="preserve">Up to five Grand Prix winners will be selected from among the awarded initiatives. The winners will be announced at the European Heritage Awards Ceremony </w:t>
      </w:r>
      <w:r w:rsidDel="00000000" w:rsidR="00000000" w:rsidRPr="00000000">
        <w:rPr>
          <w:rtl w:val="0"/>
        </w:rPr>
        <w:t xml:space="preserve">and will receive a monetary award of €10.000 each.</w:t>
      </w:r>
    </w:p>
    <w:p w:rsidR="00000000" w:rsidDel="00000000" w:rsidP="00000000" w:rsidRDefault="00000000" w:rsidRPr="00000000" w14:paraId="00000081">
      <w:pPr>
        <w:spacing w:after="0" w:line="240" w:lineRule="auto"/>
        <w:jc w:val="both"/>
        <w:rPr/>
      </w:pPr>
      <w:bookmarkStart w:colFirst="0" w:colLast="0" w:name="_heading=h.u6guzxv8svaf" w:id="4"/>
      <w:bookmarkEnd w:id="4"/>
      <w:r w:rsidDel="00000000" w:rsidR="00000000" w:rsidRPr="00000000">
        <w:rPr>
          <w:rtl w:val="0"/>
        </w:rPr>
        <w:t xml:space="preserve">Only winners of the European Heritage Awards / Europa Nostra Awards from countries participating in the Creative Europe Programme , i.e. the 27 EU Member States, the 3 EEA-countries Liechtenstein, Norway and Iceland and other third countries that have signed an Association Agreement with the EU are eligible for the Grand Prix.</w:t>
      </w:r>
    </w:p>
    <w:p w:rsidR="00000000" w:rsidDel="00000000" w:rsidP="00000000" w:rsidRDefault="00000000" w:rsidRPr="00000000" w14:paraId="00000082">
      <w:pPr>
        <w:spacing w:after="0" w:line="240" w:lineRule="auto"/>
        <w:jc w:val="both"/>
        <w:rPr/>
      </w:pPr>
      <w:r w:rsidDel="00000000" w:rsidR="00000000" w:rsidRPr="00000000">
        <w:rPr>
          <w:rtl w:val="0"/>
        </w:rPr>
      </w:r>
    </w:p>
    <w:p w:rsidR="00000000" w:rsidDel="00000000" w:rsidP="00000000" w:rsidRDefault="00000000" w:rsidRPr="00000000" w14:paraId="00000083">
      <w:pPr>
        <w:numPr>
          <w:ilvl w:val="0"/>
          <w:numId w:val="9"/>
        </w:numPr>
        <w:pBdr>
          <w:top w:space="0" w:sz="0" w:val="nil"/>
          <w:left w:space="0" w:sz="0" w:val="nil"/>
          <w:bottom w:space="0" w:sz="0" w:val="nil"/>
          <w:right w:space="0" w:sz="0" w:val="nil"/>
          <w:between w:space="0" w:sz="0" w:val="nil"/>
        </w:pBdr>
        <w:spacing w:after="0" w:line="240" w:lineRule="auto"/>
        <w:ind w:left="180" w:hanging="180"/>
        <w:jc w:val="both"/>
        <w:rPr>
          <w:b w:val="1"/>
          <w:color w:val="000000"/>
        </w:rPr>
      </w:pPr>
      <w:r w:rsidDel="00000000" w:rsidR="00000000" w:rsidRPr="00000000">
        <w:rPr>
          <w:b w:val="1"/>
          <w:color w:val="000000"/>
          <w:rtl w:val="0"/>
        </w:rPr>
        <w:t xml:space="preserve"> Selection of the Public Choice Award through online voting.</w:t>
      </w:r>
    </w:p>
    <w:p w:rsidR="00000000" w:rsidDel="00000000" w:rsidP="00000000" w:rsidRDefault="00000000" w:rsidRPr="00000000" w14:paraId="00000084">
      <w:pPr>
        <w:spacing w:after="0" w:line="240" w:lineRule="auto"/>
        <w:rPr/>
      </w:pPr>
      <w:bookmarkStart w:colFirst="0" w:colLast="0" w:name="_heading=h.2et92p0" w:id="5"/>
      <w:bookmarkEnd w:id="5"/>
      <w:r w:rsidDel="00000000" w:rsidR="00000000" w:rsidRPr="00000000">
        <w:rPr>
          <w:rtl w:val="0"/>
        </w:rPr>
        <w:t xml:space="preserve">Through an online voting system via the Europa Nostra website, citizens from around the world will have the chance to vote for their favourite projects from among the annual laureates. Only winners of the European Heritage Awards / Europa Nostra Awards that are submitted from countries participating in the Creative Europe Programme, i.e. the 27 EU Member States, the 3 EEA-countries Liechtenstein, Norway and Iceland and other third countries that have signed an Association Agreement with the EU are eligible for the Public Choice Award.</w:t>
      </w:r>
    </w:p>
    <w:p w:rsidR="00000000" w:rsidDel="00000000" w:rsidP="00000000" w:rsidRDefault="00000000" w:rsidRPr="00000000" w14:paraId="00000085">
      <w:pPr>
        <w:spacing w:after="0" w:line="240" w:lineRule="auto"/>
        <w:rPr/>
      </w:pPr>
      <w:r w:rsidDel="00000000" w:rsidR="00000000" w:rsidRPr="00000000">
        <w:rPr>
          <w:rtl w:val="0"/>
        </w:rPr>
        <w:t xml:space="preserve">The winner will be announced at the European Heritage Awards Ceremony and will receive a monetary award of €10.000.</w:t>
      </w:r>
    </w:p>
    <w:p w:rsidR="00000000" w:rsidDel="00000000" w:rsidP="00000000" w:rsidRDefault="00000000" w:rsidRPr="00000000" w14:paraId="00000086">
      <w:pPr>
        <w:pBdr>
          <w:top w:color="000000" w:space="1" w:sz="4" w:val="single"/>
          <w:left w:color="000000" w:space="4" w:sz="4" w:val="single"/>
          <w:bottom w:color="000000" w:space="1" w:sz="4" w:val="single"/>
          <w:right w:color="000000" w:space="4" w:sz="4" w:val="single"/>
          <w:between w:color="000000" w:space="1" w:sz="4" w:val="single"/>
        </w:pBdr>
        <w:spacing w:after="240" w:before="240" w:lineRule="auto"/>
        <w:rPr>
          <w:b w:val="1"/>
          <w:i w:val="1"/>
          <w:sz w:val="30"/>
          <w:szCs w:val="30"/>
        </w:rPr>
      </w:pPr>
      <w:r w:rsidDel="00000000" w:rsidR="00000000" w:rsidRPr="00000000">
        <w:rPr>
          <w:b w:val="1"/>
          <w:i w:val="1"/>
          <w:sz w:val="30"/>
          <w:szCs w:val="30"/>
          <w:rtl w:val="0"/>
        </w:rPr>
        <w:t xml:space="preserve">Awards &amp; Publicity</w:t>
      </w:r>
    </w:p>
    <w:p w:rsidR="00000000" w:rsidDel="00000000" w:rsidP="00000000" w:rsidRDefault="00000000" w:rsidRPr="00000000" w14:paraId="00000087">
      <w:pPr>
        <w:numPr>
          <w:ilvl w:val="0"/>
          <w:numId w:val="3"/>
        </w:numPr>
        <w:spacing w:after="0" w:lineRule="auto"/>
        <w:ind w:left="720" w:hanging="360"/>
      </w:pPr>
      <w:r w:rsidDel="00000000" w:rsidR="00000000" w:rsidRPr="00000000">
        <w:rPr>
          <w:rtl w:val="0"/>
        </w:rPr>
        <w:t xml:space="preserve">Upon notification of the Jury’s decision, Europa Nostra may ask for additional photo/video material. All photo/video material provided must be copyright free for Europa Nostra and the European Commission’s use for publicity and other aims; any photo/video credits will be duly acknowledged.</w:t>
      </w:r>
      <w:r w:rsidDel="00000000" w:rsidR="00000000" w:rsidRPr="00000000">
        <w:rPr>
          <w:rtl w:val="0"/>
        </w:rPr>
      </w:r>
    </w:p>
    <w:p w:rsidR="00000000" w:rsidDel="00000000" w:rsidP="00000000" w:rsidRDefault="00000000" w:rsidRPr="00000000" w14:paraId="00000088">
      <w:pPr>
        <w:numPr>
          <w:ilvl w:val="0"/>
          <w:numId w:val="3"/>
        </w:numPr>
        <w:spacing w:after="0" w:lineRule="auto"/>
        <w:ind w:left="720" w:hanging="360"/>
      </w:pPr>
      <w:r w:rsidDel="00000000" w:rsidR="00000000" w:rsidRPr="00000000">
        <w:rPr>
          <w:rtl w:val="0"/>
        </w:rPr>
        <w:t xml:space="preserve">The Europe-wide public announcement of the awarded achievements will be coordinated by Europa Nostra’s Secretariat. </w:t>
      </w:r>
    </w:p>
    <w:p w:rsidR="00000000" w:rsidDel="00000000" w:rsidP="00000000" w:rsidRDefault="00000000" w:rsidRPr="00000000" w14:paraId="00000089">
      <w:pPr>
        <w:numPr>
          <w:ilvl w:val="0"/>
          <w:numId w:val="3"/>
        </w:numPr>
        <w:spacing w:after="0" w:lineRule="auto"/>
        <w:ind w:left="720" w:hanging="360"/>
      </w:pPr>
      <w:r w:rsidDel="00000000" w:rsidR="00000000" w:rsidRPr="00000000">
        <w:rPr>
          <w:rtl w:val="0"/>
        </w:rPr>
        <w:t xml:space="preserve">After this announcement, the award winners are expected to organise a (hybrid) event </w:t>
      </w:r>
      <w:r w:rsidDel="00000000" w:rsidR="00000000" w:rsidRPr="00000000">
        <w:rPr>
          <w:i w:val="1"/>
          <w:rtl w:val="0"/>
        </w:rPr>
        <w:t xml:space="preserve">in situ</w:t>
      </w:r>
      <w:r w:rsidDel="00000000" w:rsidR="00000000" w:rsidRPr="00000000">
        <w:rPr>
          <w:rtl w:val="0"/>
        </w:rPr>
        <w:t xml:space="preserve"> to celebrate their award with, among others, those involved in the implementation of their project and with the local community</w:t>
      </w:r>
      <w:r w:rsidDel="00000000" w:rsidR="00000000" w:rsidRPr="00000000">
        <w:rPr>
          <w:rtl w:val="0"/>
        </w:rPr>
        <w:t xml:space="preserve"> and to promote their achievement in various other ways at local, regional, national and/or European/international level.</w:t>
      </w:r>
      <w:r w:rsidDel="00000000" w:rsidR="00000000" w:rsidRPr="00000000">
        <w:rPr>
          <w:rtl w:val="0"/>
        </w:rPr>
      </w:r>
    </w:p>
    <w:p w:rsidR="00000000" w:rsidDel="00000000" w:rsidP="00000000" w:rsidRDefault="00000000" w:rsidRPr="00000000" w14:paraId="0000008A">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The winners of the European Heritage Awards / Europa Nostra Awards 2023 will be celebrated in the autumn during the European Heritage Awards Ceremony. The Ceremony will take place in a hybrid format. </w:t>
      </w:r>
    </w:p>
    <w:p w:rsidR="00000000" w:rsidDel="00000000" w:rsidP="00000000" w:rsidRDefault="00000000" w:rsidRPr="00000000" w14:paraId="0000008B">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All award-winnin</w:t>
      </w:r>
      <w:r w:rsidDel="00000000" w:rsidR="00000000" w:rsidRPr="00000000">
        <w:rPr>
          <w:color w:val="000000"/>
          <w:rtl w:val="0"/>
        </w:rPr>
        <w:t xml:space="preserve">g entries will receive an award certificate as well as a bronze wall plaque which has to be place</w:t>
      </w:r>
      <w:r w:rsidDel="00000000" w:rsidR="00000000" w:rsidRPr="00000000">
        <w:rPr>
          <w:rtl w:val="0"/>
        </w:rPr>
        <w:t xml:space="preserve">d </w:t>
      </w:r>
      <w:r w:rsidDel="00000000" w:rsidR="00000000" w:rsidRPr="00000000">
        <w:rPr>
          <w:i w:val="1"/>
          <w:rtl w:val="0"/>
        </w:rPr>
        <w:t xml:space="preserve">in situ</w:t>
      </w:r>
      <w:r w:rsidDel="00000000" w:rsidR="00000000" w:rsidRPr="00000000">
        <w:rPr>
          <w:rtl w:val="0"/>
        </w:rPr>
        <w:t xml:space="preserve">, in a visible location accessible to the public</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8C">
      <w:pPr>
        <w:widowControl w:val="0"/>
        <w:numPr>
          <w:ilvl w:val="0"/>
          <w:numId w:val="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color w:val="000000"/>
          <w:rtl w:val="0"/>
        </w:rPr>
        <w:t xml:space="preserve">In addition, the winners of a Grand Prix </w:t>
      </w:r>
      <w:r w:rsidDel="00000000" w:rsidR="00000000" w:rsidRPr="00000000">
        <w:rPr>
          <w:rtl w:val="0"/>
        </w:rPr>
        <w:t xml:space="preserve">and the Public Choice Award</w:t>
      </w:r>
      <w:r w:rsidDel="00000000" w:rsidR="00000000" w:rsidRPr="00000000">
        <w:rPr>
          <w:rtl w:val="0"/>
        </w:rPr>
        <w:t xml:space="preserve">, </w:t>
      </w:r>
      <w:r w:rsidDel="00000000" w:rsidR="00000000" w:rsidRPr="00000000">
        <w:rPr>
          <w:color w:val="000000"/>
          <w:rtl w:val="0"/>
        </w:rPr>
        <w:t xml:space="preserve">chosen from among the laureates of the European Heritage Awards / Europa Nostra Awards</w:t>
      </w:r>
      <w:r w:rsidDel="00000000" w:rsidR="00000000" w:rsidRPr="00000000">
        <w:rPr>
          <w:rtl w:val="0"/>
        </w:rPr>
        <w:t xml:space="preserve">,</w:t>
      </w:r>
      <w:r w:rsidDel="00000000" w:rsidR="00000000" w:rsidRPr="00000000">
        <w:rPr>
          <w:color w:val="000000"/>
          <w:rtl w:val="0"/>
        </w:rPr>
        <w:t xml:space="preserve"> will rec</w:t>
      </w:r>
      <w:r w:rsidDel="00000000" w:rsidR="00000000" w:rsidRPr="00000000">
        <w:rPr>
          <w:color w:val="000000"/>
          <w:highlight w:val="white"/>
          <w:rtl w:val="0"/>
        </w:rPr>
        <w:t xml:space="preserve">eive a monetary award of €10</w:t>
      </w:r>
      <w:r w:rsidDel="00000000" w:rsidR="00000000" w:rsidRPr="00000000">
        <w:rPr>
          <w:highlight w:val="white"/>
          <w:rtl w:val="0"/>
        </w:rPr>
        <w:t xml:space="preserve">.</w:t>
      </w:r>
      <w:r w:rsidDel="00000000" w:rsidR="00000000" w:rsidRPr="00000000">
        <w:rPr>
          <w:color w:val="000000"/>
          <w:highlight w:val="white"/>
          <w:rtl w:val="0"/>
        </w:rPr>
        <w:t xml:space="preserve">000.</w:t>
      </w:r>
      <w:r w:rsidDel="00000000" w:rsidR="00000000" w:rsidRPr="00000000">
        <w:rPr>
          <w:rtl w:val="0"/>
        </w:rPr>
      </w:r>
    </w:p>
    <w:sectPr>
      <w:headerReference r:id="rId18" w:type="default"/>
      <w:headerReference r:id="rId19" w:type="first"/>
      <w:footerReference r:id="rId20" w:type="default"/>
      <w:footerReference r:id="rId21"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Awards were launched in 2002 by the European Commission and are supported by the Creative Europe Programme. Since its launch, Europa Nostra, the European Voice of Civil Society Committed to Cultural Heritage, has been responsible for running this awards scheme.</w:t>
      </w:r>
    </w:p>
  </w:footnote>
  <w:footnote w:id="1">
    <w:p w:rsidR="00000000" w:rsidDel="00000000" w:rsidP="00000000" w:rsidRDefault="00000000" w:rsidRPr="00000000" w14:paraId="0000008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Definitions of these categories can be found on page 3 of this document, together with information on the eligibility and selection criteria.</w:t>
      </w:r>
    </w:p>
  </w:footnote>
  <w:footnote w:id="2">
    <w:p w:rsidR="00000000" w:rsidDel="00000000" w:rsidP="00000000" w:rsidRDefault="00000000" w:rsidRPr="00000000" w14:paraId="0000008F">
      <w:pPr>
        <w:spacing w:after="0" w:line="240" w:lineRule="auto"/>
        <w:rPr>
          <w:sz w:val="20"/>
          <w:szCs w:val="20"/>
          <w:highlight w:val="white"/>
        </w:rPr>
      </w:pPr>
      <w:bookmarkStart w:colFirst="0" w:colLast="0" w:name="_heading=h.1fob9te" w:id="6"/>
      <w:bookmarkEnd w:id="6"/>
      <w:r w:rsidDel="00000000" w:rsidR="00000000" w:rsidRPr="00000000">
        <w:rPr>
          <w:rStyle w:val="FootnoteReference"/>
          <w:vertAlign w:val="superscript"/>
        </w:rPr>
        <w:footnoteRef/>
      </w:r>
      <w:hyperlink r:id="rId1">
        <w:r w:rsidDel="00000000" w:rsidR="00000000" w:rsidRPr="00000000">
          <w:rPr>
            <w:color w:val="1155cc"/>
            <w:sz w:val="20"/>
            <w:szCs w:val="20"/>
            <w:highlight w:val="white"/>
            <w:u w:val="single"/>
            <w:rtl w:val="0"/>
          </w:rPr>
          <w:t xml:space="preserve">https://ec.europa.eu/info/funding-tenders/opportunities/docs/2021-2027/crea/guidance/list-3rd-country-participation_crea_en.pdf</w:t>
        </w:r>
      </w:hyperlink>
      <w:r w:rsidDel="00000000" w:rsidR="00000000" w:rsidRPr="00000000">
        <w:rPr>
          <w:rtl w:val="0"/>
        </w:rPr>
      </w:r>
    </w:p>
  </w:footnote>
  <w:footnote w:id="3">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This designation is without prejudice to positions on status, and is in line with UNSCR 1244/1999 and the ICJ Opinion on the Kosovo declaration of independence.</w:t>
      </w:r>
    </w:p>
  </w:footnote>
  <w:footnote w:id="4">
    <w:p w:rsidR="00000000" w:rsidDel="00000000" w:rsidP="00000000" w:rsidRDefault="00000000" w:rsidRPr="00000000" w14:paraId="0000009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Intangible cultural heritage, as defined by UNESCO, refers to practices, representations, expressions, knowledge and skills – as well as the instruments, objects, artefacts and cultural spaces associated therewith – that communities, groups and, in some cases, individuals recognise as part of their cultural heritage (</w:t>
      </w:r>
      <w:r w:rsidDel="00000000" w:rsidR="00000000" w:rsidRPr="00000000">
        <w:rPr>
          <w:i w:val="1"/>
          <w:sz w:val="20"/>
          <w:szCs w:val="20"/>
          <w:rtl w:val="0"/>
        </w:rPr>
        <w:t xml:space="preserve">inter alia</w:t>
      </w:r>
      <w:r w:rsidDel="00000000" w:rsidR="00000000" w:rsidRPr="00000000">
        <w:rPr>
          <w:sz w:val="20"/>
          <w:szCs w:val="20"/>
          <w:rtl w:val="0"/>
        </w:rPr>
        <w:t xml:space="preserve"> oral traditions and expressions, performing arts, social practices, rituals and festive events, knowledge and practices concerning nature and the universe and traditional craftsmanship). Source: </w:t>
      </w:r>
      <w:hyperlink r:id="rId2">
        <w:r w:rsidDel="00000000" w:rsidR="00000000" w:rsidRPr="00000000">
          <w:rPr>
            <w:color w:val="1155cc"/>
            <w:sz w:val="20"/>
            <w:szCs w:val="20"/>
            <w:u w:val="single"/>
            <w:rtl w:val="0"/>
          </w:rPr>
          <w:t xml:space="preserve">UNESCO Convention for the Safeguarding of the Intangible Cultural Heritage</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rPr>
      <w:drawing>
        <wp:inline distB="114300" distT="114300" distL="114300" distR="114300">
          <wp:extent cx="1347788" cy="1360502"/>
          <wp:effectExtent b="0" l="0" r="0" t="0"/>
          <wp:docPr id="1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347788" cy="1360502"/>
                  </a:xfrm>
                  <a:prstGeom prst="rect"/>
                  <a:ln/>
                </pic:spPr>
              </pic:pic>
            </a:graphicData>
          </a:graphic>
        </wp:inline>
      </w:drawing>
    </w:r>
    <w:r w:rsidDel="00000000" w:rsidR="00000000" w:rsidRPr="00000000">
      <w:rPr>
        <w:color w:val="000000"/>
        <w:rtl w:val="0"/>
      </w:rPr>
      <w:t xml:space="preserve">                                                                                                                 </w:t>
    </w:r>
    <w:r w:rsidDel="00000000" w:rsidR="00000000" w:rsidRPr="00000000">
      <w:rPr>
        <w:rFonts w:ascii="Arial" w:cs="Arial" w:eastAsia="Arial" w:hAnsi="Arial"/>
        <w:color w:val="000000"/>
      </w:rPr>
      <w:drawing>
        <wp:inline distB="0" distT="0" distL="0" distR="0">
          <wp:extent cx="711200" cy="1257300"/>
          <wp:effectExtent b="0" l="0" r="0" t="0"/>
          <wp:docPr descr="EuropaNostra_red.png" id="14" name="image1.png"/>
          <a:graphic>
            <a:graphicData uri="http://schemas.openxmlformats.org/drawingml/2006/picture">
              <pic:pic>
                <pic:nvPicPr>
                  <pic:cNvPr descr="EuropaNostra_red.png" id="0" name="image1.png"/>
                  <pic:cNvPicPr preferRelativeResize="0"/>
                </pic:nvPicPr>
                <pic:blipFill>
                  <a:blip r:embed="rId2"/>
                  <a:srcRect b="0" l="0" r="0" t="0"/>
                  <a:stretch>
                    <a:fillRect/>
                  </a:stretch>
                </pic:blipFill>
                <pic:spPr>
                  <a:xfrm>
                    <a:off x="0" y="0"/>
                    <a:ext cx="711200" cy="12573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Fonts w:ascii="Arial" w:cs="Arial" w:eastAsia="Arial" w:hAnsi="Arial"/>
        <w:color w:val="00000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680B76"/>
    <w:pPr>
      <w:spacing w:after="100" w:afterAutospacing="1" w:before="100" w:beforeAutospacing="1" w:line="240" w:lineRule="auto"/>
    </w:pPr>
    <w:rPr>
      <w:rFonts w:ascii="Times New Roman" w:cs="Times New Roman" w:eastAsia="Times New Roman" w:hAnsi="Times New Roman"/>
      <w:sz w:val="24"/>
      <w:szCs w:val="24"/>
    </w:rPr>
  </w:style>
  <w:style w:type="paragraph" w:styleId="FootnoteText">
    <w:name w:val="footnote text"/>
    <w:basedOn w:val="Normal"/>
    <w:link w:val="FootnoteTextChar"/>
    <w:uiPriority w:val="99"/>
    <w:semiHidden w:val="1"/>
    <w:unhideWhenUsed w:val="1"/>
    <w:rsid w:val="00532BCF"/>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32BCF"/>
    <w:rPr>
      <w:sz w:val="20"/>
      <w:szCs w:val="20"/>
    </w:rPr>
  </w:style>
  <w:style w:type="character" w:styleId="FootnoteReference">
    <w:name w:val="footnote reference"/>
    <w:basedOn w:val="DefaultParagraphFont"/>
    <w:uiPriority w:val="99"/>
    <w:semiHidden w:val="1"/>
    <w:unhideWhenUsed w:val="1"/>
    <w:rsid w:val="00532BCF"/>
    <w:rPr>
      <w:vertAlign w:val="superscript"/>
    </w:rPr>
  </w:style>
  <w:style w:type="paragraph" w:styleId="ListParagraph">
    <w:name w:val="List Paragraph"/>
    <w:basedOn w:val="Normal"/>
    <w:uiPriority w:val="34"/>
    <w:qFormat w:val="1"/>
    <w:rsid w:val="00A663CB"/>
    <w:pPr>
      <w:ind w:left="720"/>
      <w:contextualSpacing w:val="1"/>
    </w:pPr>
  </w:style>
  <w:style w:type="character" w:styleId="Hyperlink">
    <w:name w:val="Hyperlink"/>
    <w:basedOn w:val="DefaultParagraphFont"/>
    <w:uiPriority w:val="99"/>
    <w:unhideWhenUsed w:val="1"/>
    <w:rsid w:val="00A10621"/>
    <w:rPr>
      <w:color w:val="0563c1" w:themeColor="hyperlink"/>
      <w:u w:val="single"/>
    </w:rPr>
  </w:style>
  <w:style w:type="character" w:styleId="UnresolvedMention1" w:customStyle="1">
    <w:name w:val="Unresolved Mention1"/>
    <w:basedOn w:val="DefaultParagraphFont"/>
    <w:uiPriority w:val="99"/>
    <w:semiHidden w:val="1"/>
    <w:unhideWhenUsed w:val="1"/>
    <w:rsid w:val="00A10621"/>
    <w:rPr>
      <w:color w:val="605e5c"/>
      <w:shd w:color="auto" w:fill="e1dfdd" w:val="clear"/>
    </w:rPr>
  </w:style>
  <w:style w:type="paragraph" w:styleId="Header">
    <w:name w:val="header"/>
    <w:basedOn w:val="Normal"/>
    <w:link w:val="HeaderChar"/>
    <w:uiPriority w:val="99"/>
    <w:unhideWhenUsed w:val="1"/>
    <w:rsid w:val="004D08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08F1"/>
  </w:style>
  <w:style w:type="paragraph" w:styleId="Footer">
    <w:name w:val="footer"/>
    <w:basedOn w:val="Normal"/>
    <w:link w:val="FooterChar"/>
    <w:uiPriority w:val="99"/>
    <w:unhideWhenUsed w:val="1"/>
    <w:rsid w:val="004D08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08F1"/>
  </w:style>
  <w:style w:type="character" w:styleId="CommentReference">
    <w:name w:val="annotation reference"/>
    <w:basedOn w:val="DefaultParagraphFont"/>
    <w:uiPriority w:val="99"/>
    <w:semiHidden w:val="1"/>
    <w:unhideWhenUsed w:val="1"/>
    <w:rsid w:val="003933E9"/>
    <w:rPr>
      <w:sz w:val="16"/>
      <w:szCs w:val="16"/>
    </w:rPr>
  </w:style>
  <w:style w:type="paragraph" w:styleId="CommentText">
    <w:name w:val="annotation text"/>
    <w:basedOn w:val="Normal"/>
    <w:link w:val="CommentTextChar"/>
    <w:uiPriority w:val="99"/>
    <w:unhideWhenUsed w:val="1"/>
    <w:rsid w:val="003933E9"/>
    <w:pPr>
      <w:spacing w:line="240" w:lineRule="auto"/>
    </w:pPr>
    <w:rPr>
      <w:sz w:val="20"/>
      <w:szCs w:val="20"/>
    </w:rPr>
  </w:style>
  <w:style w:type="character" w:styleId="CommentTextChar" w:customStyle="1">
    <w:name w:val="Comment Text Char"/>
    <w:basedOn w:val="DefaultParagraphFont"/>
    <w:link w:val="CommentText"/>
    <w:uiPriority w:val="99"/>
    <w:rsid w:val="003933E9"/>
    <w:rPr>
      <w:sz w:val="20"/>
      <w:szCs w:val="20"/>
    </w:rPr>
  </w:style>
  <w:style w:type="paragraph" w:styleId="CommentSubject">
    <w:name w:val="annotation subject"/>
    <w:basedOn w:val="CommentText"/>
    <w:next w:val="CommentText"/>
    <w:link w:val="CommentSubjectChar"/>
    <w:uiPriority w:val="99"/>
    <w:semiHidden w:val="1"/>
    <w:unhideWhenUsed w:val="1"/>
    <w:rsid w:val="003933E9"/>
    <w:rPr>
      <w:b w:val="1"/>
      <w:bCs w:val="1"/>
    </w:rPr>
  </w:style>
  <w:style w:type="character" w:styleId="CommentSubjectChar" w:customStyle="1">
    <w:name w:val="Comment Subject Char"/>
    <w:basedOn w:val="CommentTextChar"/>
    <w:link w:val="CommentSubject"/>
    <w:uiPriority w:val="99"/>
    <w:semiHidden w:val="1"/>
    <w:rsid w:val="003933E9"/>
    <w:rPr>
      <w:b w:val="1"/>
      <w:bCs w:val="1"/>
      <w:sz w:val="20"/>
      <w:szCs w:val="20"/>
    </w:rPr>
  </w:style>
  <w:style w:type="paragraph" w:styleId="BalloonText">
    <w:name w:val="Balloon Text"/>
    <w:basedOn w:val="Normal"/>
    <w:link w:val="BalloonTextChar"/>
    <w:uiPriority w:val="99"/>
    <w:semiHidden w:val="1"/>
    <w:unhideWhenUsed w:val="1"/>
    <w:rsid w:val="003933E9"/>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933E9"/>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Revision">
    <w:name w:val="Revision"/>
    <w:hidden w:val="1"/>
    <w:uiPriority w:val="99"/>
    <w:semiHidden w:val="1"/>
    <w:rsid w:val="00027F2B"/>
    <w:pPr>
      <w:spacing w:after="0" w:line="240" w:lineRule="auto"/>
    </w:pPr>
  </w:style>
  <w:style w:type="character" w:styleId="UnresolvedMention">
    <w:name w:val="Unresolved Mention"/>
    <w:basedOn w:val="DefaultParagraphFont"/>
    <w:uiPriority w:val="99"/>
    <w:semiHidden w:val="1"/>
    <w:unhideWhenUsed w:val="1"/>
    <w:rsid w:val="00852FEC"/>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https://www.europanostra.org/privacy-policy/" TargetMode="External"/><Relationship Id="rId18" Type="http://schemas.openxmlformats.org/officeDocument/2006/relationships/header" Target="header2.xml"/><Relationship Id="rId8" Type="http://schemas.openxmlformats.org/officeDocument/2006/relationships/hyperlink" Target="http://european-heritage.awardsplatform.com" TargetMode="External"/><Relationship Id="rId21" Type="http://schemas.openxmlformats.org/officeDocument/2006/relationships/footer" Target="footer1.xml"/><Relationship Id="rId3" Type="http://schemas.openxmlformats.org/officeDocument/2006/relationships/fontTable" Target="fontTable.xml"/><Relationship Id="rId12" Type="http://schemas.openxmlformats.org/officeDocument/2006/relationships/hyperlink" Target="mailto:awards@europanostra.org" TargetMode="External"/><Relationship Id="rId17" Type="http://schemas.openxmlformats.org/officeDocument/2006/relationships/hyperlink" Target="https://europa.eu/new-european-bauhaus/index_en" TargetMode="External"/><Relationship Id="rId7" Type="http://schemas.openxmlformats.org/officeDocument/2006/relationships/customXml" Target="../customXML/item1.xml"/><Relationship Id="rId20"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www.europanostra.org/wp-content/uploads/2021/05/202105_Davos-Baukultur_quality-system.pdf" TargetMode="External"/><Relationship Id="rId11" Type="http://schemas.openxmlformats.org/officeDocument/2006/relationships/hyperlink" Target="mailto:awards@europanostra.org" TargetMode="External"/><Relationship Id="rId1" Type="http://schemas.openxmlformats.org/officeDocument/2006/relationships/theme" Target="theme/theme1.xml"/><Relationship Id="rId6" Type="http://schemas.openxmlformats.org/officeDocument/2006/relationships/styles" Target="styles.xml"/><Relationship Id="rId15" Type="http://schemas.openxmlformats.org/officeDocument/2006/relationships/hyperlink" Target="https://openarchive.icomos.org/id/eprint/2436/" TargetMode="External"/><Relationship Id="rId5" Type="http://schemas.openxmlformats.org/officeDocument/2006/relationships/numbering" Target="numbering.xml"/><Relationship Id="rId23" Type="http://schemas.openxmlformats.org/officeDocument/2006/relationships/customXml" Target="../customXML/item3.xml"/><Relationship Id="rId10" Type="http://schemas.openxmlformats.org/officeDocument/2006/relationships/hyperlink" Target="mailto:awards@europanostra.org"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uropeanheritageawards.eu/faq/" TargetMode="External"/><Relationship Id="rId14" Type="http://schemas.openxmlformats.org/officeDocument/2006/relationships/hyperlink" Target="https://edoc.coe.int/en/cultural-heritage/8757-the-faro-convention-the-way-forward-with-heritage.html"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info/funding-tenders/opportunities/docs/2021-2027/crea/guidance/list-3rd-country-participation_crea_en.pdf" TargetMode="External"/><Relationship Id="rId2" Type="http://schemas.openxmlformats.org/officeDocument/2006/relationships/hyperlink" Target="https://ich.unesco.org/en/convention#art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AYzqa/c99iYLZeyY6Xd4u82wiw==">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6" ma:contentTypeDescription="Create a new document." ma:contentTypeScope="" ma:versionID="ab83c0c8cfa4a8972ce266e7c9f8bf59">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cbe6f26b4a52cde08000e83537a690af"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090EBE7-DAE4-447C-9DAB-0EC91C27817D}"/>
</file>

<file path=customXML/itemProps3.xml><?xml version="1.0" encoding="utf-8"?>
<ds:datastoreItem xmlns:ds="http://schemas.openxmlformats.org/officeDocument/2006/customXml" ds:itemID="{35082556-2F27-4C55-81FB-AB831A0F9CE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2022-09-02T13:39:00Z</dcterms:created>
  <dc:creator>Audrey Hogan</dc:creator>
</cp:coreProperties>
</file>