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863E" w14:textId="77777777" w:rsidR="00A515EB" w:rsidRPr="003133AC" w:rsidRDefault="00CB7442" w:rsidP="00030F01">
      <w:pPr>
        <w:pStyle w:val="Heading1"/>
        <w:spacing w:before="0" w:line="240" w:lineRule="auto"/>
        <w:contextualSpacing/>
        <w:jc w:val="center"/>
        <w:rPr>
          <w:sz w:val="20"/>
          <w:szCs w:val="20"/>
          <w:lang w:val="en-US"/>
        </w:rPr>
      </w:pPr>
      <w:r w:rsidRPr="003133AC">
        <w:rPr>
          <w:sz w:val="20"/>
          <w:szCs w:val="20"/>
          <w:lang w:val="en-US"/>
        </w:rPr>
        <w:t>Partner search form</w:t>
      </w:r>
    </w:p>
    <w:p w14:paraId="003FDDFB" w14:textId="12C29194" w:rsidR="00FC4A35" w:rsidRDefault="00CB7442" w:rsidP="00030F01">
      <w:pPr>
        <w:spacing w:after="0" w:line="240" w:lineRule="auto"/>
        <w:contextualSpacing/>
        <w:jc w:val="center"/>
        <w:rPr>
          <w:szCs w:val="20"/>
          <w:lang w:val="en-US"/>
        </w:rPr>
      </w:pPr>
      <w:r w:rsidRPr="003133AC">
        <w:rPr>
          <w:szCs w:val="20"/>
          <w:lang w:val="en-US"/>
        </w:rPr>
        <w:t>For Creative Europe project applications</w:t>
      </w:r>
    </w:p>
    <w:p w14:paraId="4D57A638" w14:textId="77777777" w:rsidR="006126C1" w:rsidRPr="003133AC" w:rsidRDefault="006126C1" w:rsidP="00030F01">
      <w:pPr>
        <w:spacing w:after="0" w:line="240" w:lineRule="auto"/>
        <w:contextualSpacing/>
        <w:jc w:val="center"/>
        <w:rPr>
          <w:szCs w:val="20"/>
          <w:lang w:val="en-US"/>
        </w:rPr>
      </w:pP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3133AC" w14:paraId="71A09D3B" w14:textId="77777777" w:rsidTr="00576CCC">
        <w:tc>
          <w:tcPr>
            <w:tcW w:w="2972" w:type="dxa"/>
          </w:tcPr>
          <w:p w14:paraId="2D33976A" w14:textId="77777777" w:rsidR="00FC4A35" w:rsidRPr="003133AC" w:rsidRDefault="00AC2B8C" w:rsidP="00030F01">
            <w:pPr>
              <w:contextualSpacing/>
              <w:rPr>
                <w:szCs w:val="20"/>
              </w:rPr>
            </w:pPr>
            <w:r w:rsidRPr="003133AC">
              <w:rPr>
                <w:szCs w:val="20"/>
              </w:rPr>
              <w:t>Call</w:t>
            </w:r>
          </w:p>
        </w:tc>
        <w:tc>
          <w:tcPr>
            <w:tcW w:w="6656" w:type="dxa"/>
          </w:tcPr>
          <w:p w14:paraId="2F447DF3" w14:textId="2700FB93" w:rsidR="00FC4A35" w:rsidRPr="003133AC" w:rsidRDefault="00542A74" w:rsidP="00030F01">
            <w:pPr>
              <w:contextualSpacing/>
              <w:rPr>
                <w:i/>
                <w:szCs w:val="20"/>
                <w:lang w:val="en-US"/>
              </w:rPr>
            </w:pPr>
            <w:r w:rsidRPr="003133AC">
              <w:rPr>
                <w:i/>
                <w:szCs w:val="20"/>
                <w:lang w:val="en-US"/>
              </w:rPr>
              <w:t xml:space="preserve">Support to European </w:t>
            </w:r>
            <w:r w:rsidR="006A2FE9" w:rsidRPr="003133AC">
              <w:rPr>
                <w:i/>
                <w:szCs w:val="20"/>
                <w:lang w:val="en-US"/>
              </w:rPr>
              <w:t>Cooperation P</w:t>
            </w:r>
            <w:r w:rsidR="00DE2DD9" w:rsidRPr="003133AC">
              <w:rPr>
                <w:i/>
                <w:szCs w:val="20"/>
                <w:lang w:val="en-US"/>
              </w:rPr>
              <w:t>rojects 2021</w:t>
            </w:r>
          </w:p>
        </w:tc>
      </w:tr>
      <w:tr w:rsidR="006A2FE9" w:rsidRPr="003133AC" w14:paraId="721D61F0" w14:textId="77777777" w:rsidTr="00576CCC">
        <w:tc>
          <w:tcPr>
            <w:tcW w:w="2972" w:type="dxa"/>
          </w:tcPr>
          <w:p w14:paraId="39BCC4FD" w14:textId="77777777" w:rsidR="006A2FE9" w:rsidRPr="003133AC" w:rsidRDefault="006A2FE9" w:rsidP="00030F01">
            <w:pPr>
              <w:contextualSpacing/>
              <w:rPr>
                <w:szCs w:val="20"/>
              </w:rPr>
            </w:pPr>
            <w:r w:rsidRPr="003133AC">
              <w:rPr>
                <w:szCs w:val="20"/>
              </w:rPr>
              <w:t>Strand or category</w:t>
            </w:r>
          </w:p>
        </w:tc>
        <w:tc>
          <w:tcPr>
            <w:tcW w:w="6656" w:type="dxa"/>
          </w:tcPr>
          <w:p w14:paraId="19DDEEC3" w14:textId="6BBFED66" w:rsidR="006A2FE9" w:rsidRPr="003133AC" w:rsidRDefault="003920AD" w:rsidP="00030F01">
            <w:pPr>
              <w:contextualSpacing/>
              <w:rPr>
                <w:i/>
                <w:szCs w:val="20"/>
                <w:lang w:val="en-US"/>
              </w:rPr>
            </w:pPr>
            <w:r w:rsidRPr="003133AC">
              <w:rPr>
                <w:i/>
                <w:szCs w:val="20"/>
                <w:lang w:val="en-US"/>
              </w:rPr>
              <w:t>Small</w:t>
            </w:r>
            <w:r w:rsidR="006A2FE9" w:rsidRPr="003133AC">
              <w:rPr>
                <w:i/>
                <w:szCs w:val="20"/>
                <w:lang w:val="en-US"/>
              </w:rPr>
              <w:t xml:space="preserve"> Scale Cooperation Projects</w:t>
            </w:r>
          </w:p>
        </w:tc>
      </w:tr>
    </w:tbl>
    <w:p w14:paraId="6C432FBE" w14:textId="77777777" w:rsidR="00E97F53" w:rsidRPr="003133AC" w:rsidRDefault="00E97F53" w:rsidP="00030F01">
      <w:pPr>
        <w:spacing w:after="0" w:line="240" w:lineRule="auto"/>
        <w:contextualSpacing/>
        <w:rPr>
          <w:szCs w:val="20"/>
          <w:lang w:val="en-US"/>
        </w:rPr>
      </w:pPr>
    </w:p>
    <w:p w14:paraId="688B7A17" w14:textId="77777777" w:rsidR="00FC4A35" w:rsidRPr="003133AC" w:rsidRDefault="00FC4A35" w:rsidP="00030F01">
      <w:pPr>
        <w:pStyle w:val="Heading2"/>
        <w:spacing w:before="0" w:line="240" w:lineRule="auto"/>
        <w:contextualSpacing/>
        <w:rPr>
          <w:szCs w:val="20"/>
          <w:lang w:val="en-US"/>
        </w:rPr>
      </w:pPr>
      <w:r w:rsidRPr="003133AC">
        <w:rPr>
          <w:szCs w:val="20"/>
          <w:lang w:val="en-US"/>
        </w:rPr>
        <w:t xml:space="preserve">Cultural operator </w:t>
      </w:r>
      <w:r w:rsidR="00DE2DD9" w:rsidRPr="003133AC">
        <w:rPr>
          <w:szCs w:val="20"/>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3133AC" w14:paraId="0264E18F" w14:textId="77777777" w:rsidTr="00576CCC">
        <w:tc>
          <w:tcPr>
            <w:tcW w:w="2972" w:type="dxa"/>
          </w:tcPr>
          <w:p w14:paraId="49D7BE1D" w14:textId="77777777" w:rsidR="00FC4A35" w:rsidRPr="003133AC" w:rsidRDefault="00FC4A35" w:rsidP="00030F01">
            <w:pPr>
              <w:contextualSpacing/>
              <w:rPr>
                <w:szCs w:val="20"/>
                <w:lang w:val="en-US"/>
              </w:rPr>
            </w:pPr>
            <w:r w:rsidRPr="003133AC">
              <w:rPr>
                <w:szCs w:val="20"/>
                <w:lang w:val="en-US"/>
              </w:rPr>
              <w:t xml:space="preserve">Name </w:t>
            </w:r>
            <w:r w:rsidR="00212FFF" w:rsidRPr="003133AC">
              <w:rPr>
                <w:szCs w:val="20"/>
                <w:lang w:val="en-US"/>
              </w:rPr>
              <w:t xml:space="preserve">of </w:t>
            </w:r>
            <w:proofErr w:type="spellStart"/>
            <w:r w:rsidR="00212FFF" w:rsidRPr="003133AC">
              <w:rPr>
                <w:szCs w:val="20"/>
                <w:lang w:val="en-US"/>
              </w:rPr>
              <w:t>organisation</w:t>
            </w:r>
            <w:proofErr w:type="spellEnd"/>
          </w:p>
        </w:tc>
        <w:tc>
          <w:tcPr>
            <w:tcW w:w="6656" w:type="dxa"/>
          </w:tcPr>
          <w:p w14:paraId="74A53EBD" w14:textId="74BC0F96" w:rsidR="00FC4A35" w:rsidRPr="003133AC" w:rsidRDefault="00D75F7C" w:rsidP="00030F01">
            <w:pPr>
              <w:contextualSpacing/>
              <w:rPr>
                <w:szCs w:val="20"/>
                <w:lang w:val="en-US"/>
              </w:rPr>
            </w:pPr>
            <w:r w:rsidRPr="003133AC">
              <w:rPr>
                <w:szCs w:val="20"/>
                <w:lang w:val="en-US"/>
              </w:rPr>
              <w:t>Vidzeme University of Applied Sciences</w:t>
            </w:r>
          </w:p>
        </w:tc>
      </w:tr>
      <w:tr w:rsidR="00212FFF" w:rsidRPr="003133AC" w14:paraId="3293F868" w14:textId="77777777" w:rsidTr="00576CCC">
        <w:tc>
          <w:tcPr>
            <w:tcW w:w="2972" w:type="dxa"/>
          </w:tcPr>
          <w:p w14:paraId="732DD907" w14:textId="77777777" w:rsidR="00212FFF" w:rsidRPr="003133AC" w:rsidRDefault="00212FFF" w:rsidP="00030F01">
            <w:pPr>
              <w:contextualSpacing/>
              <w:rPr>
                <w:szCs w:val="20"/>
                <w:lang w:val="en-US"/>
              </w:rPr>
            </w:pPr>
            <w:r w:rsidRPr="003133AC">
              <w:rPr>
                <w:szCs w:val="20"/>
                <w:lang w:val="en-US"/>
              </w:rPr>
              <w:t>Country</w:t>
            </w:r>
          </w:p>
        </w:tc>
        <w:tc>
          <w:tcPr>
            <w:tcW w:w="6656" w:type="dxa"/>
          </w:tcPr>
          <w:p w14:paraId="40EBD695" w14:textId="5EE4B70C" w:rsidR="00212FFF" w:rsidRPr="003133AC" w:rsidRDefault="00D75F7C" w:rsidP="00030F01">
            <w:pPr>
              <w:contextualSpacing/>
              <w:rPr>
                <w:i/>
                <w:szCs w:val="20"/>
                <w:lang w:val="en-US"/>
              </w:rPr>
            </w:pPr>
            <w:r w:rsidRPr="003133AC">
              <w:rPr>
                <w:iCs/>
                <w:szCs w:val="20"/>
                <w:lang w:val="en-US"/>
              </w:rPr>
              <w:t>Latvia</w:t>
            </w:r>
            <w:r w:rsidRPr="003133AC">
              <w:rPr>
                <w:i/>
                <w:szCs w:val="20"/>
                <w:lang w:val="en-US"/>
              </w:rPr>
              <w:t xml:space="preserve"> </w:t>
            </w:r>
          </w:p>
        </w:tc>
      </w:tr>
      <w:tr w:rsidR="00D87A47" w:rsidRPr="003133AC" w14:paraId="244E992E" w14:textId="77777777" w:rsidTr="00576CCC">
        <w:tc>
          <w:tcPr>
            <w:tcW w:w="2972" w:type="dxa"/>
          </w:tcPr>
          <w:p w14:paraId="71AD854B" w14:textId="77777777" w:rsidR="00D87A47" w:rsidRPr="003133AC" w:rsidRDefault="00212FFF" w:rsidP="00030F01">
            <w:pPr>
              <w:contextualSpacing/>
              <w:rPr>
                <w:szCs w:val="20"/>
                <w:lang w:val="en-US"/>
              </w:rPr>
            </w:pPr>
            <w:proofErr w:type="spellStart"/>
            <w:r w:rsidRPr="003133AC">
              <w:rPr>
                <w:szCs w:val="20"/>
                <w:lang w:val="en-US"/>
              </w:rPr>
              <w:t>Organisation</w:t>
            </w:r>
            <w:proofErr w:type="spellEnd"/>
            <w:r w:rsidRPr="003133AC">
              <w:rPr>
                <w:szCs w:val="20"/>
                <w:lang w:val="en-US"/>
              </w:rPr>
              <w:t xml:space="preserve"> website</w:t>
            </w:r>
          </w:p>
        </w:tc>
        <w:tc>
          <w:tcPr>
            <w:tcW w:w="6656" w:type="dxa"/>
          </w:tcPr>
          <w:p w14:paraId="28DF9472" w14:textId="3FEB483D" w:rsidR="00D87A47" w:rsidRPr="003133AC" w:rsidRDefault="00D70518" w:rsidP="00030F01">
            <w:pPr>
              <w:contextualSpacing/>
              <w:rPr>
                <w:i/>
                <w:szCs w:val="20"/>
                <w:lang w:val="en-US"/>
              </w:rPr>
            </w:pPr>
            <w:hyperlink r:id="rId7" w:history="1">
              <w:r w:rsidR="00D75F7C" w:rsidRPr="003133AC">
                <w:rPr>
                  <w:rStyle w:val="Hyperlink"/>
                  <w:i/>
                  <w:szCs w:val="20"/>
                  <w:lang w:val="en-US"/>
                </w:rPr>
                <w:t>www.va.lv</w:t>
              </w:r>
            </w:hyperlink>
            <w:r w:rsidR="00D75F7C" w:rsidRPr="003133AC">
              <w:rPr>
                <w:i/>
                <w:szCs w:val="20"/>
                <w:lang w:val="en-US"/>
              </w:rPr>
              <w:t xml:space="preserve"> </w:t>
            </w:r>
          </w:p>
        </w:tc>
      </w:tr>
      <w:tr w:rsidR="00705A18" w:rsidRPr="003133AC" w14:paraId="56977D61" w14:textId="77777777" w:rsidTr="00576CCC">
        <w:tc>
          <w:tcPr>
            <w:tcW w:w="2972" w:type="dxa"/>
          </w:tcPr>
          <w:p w14:paraId="7657434A" w14:textId="77777777" w:rsidR="00705A18" w:rsidRPr="003133AC" w:rsidRDefault="00705A18" w:rsidP="00030F01">
            <w:pPr>
              <w:contextualSpacing/>
              <w:rPr>
                <w:szCs w:val="20"/>
                <w:lang w:val="en-US"/>
              </w:rPr>
            </w:pPr>
            <w:r w:rsidRPr="003133AC">
              <w:rPr>
                <w:szCs w:val="20"/>
                <w:lang w:val="en-US"/>
              </w:rPr>
              <w:t>Contact person</w:t>
            </w:r>
          </w:p>
        </w:tc>
        <w:tc>
          <w:tcPr>
            <w:tcW w:w="6656" w:type="dxa"/>
          </w:tcPr>
          <w:p w14:paraId="0CBD55F6" w14:textId="3AB1D6DF" w:rsidR="00705A18" w:rsidRPr="003133AC" w:rsidRDefault="00D75F7C" w:rsidP="00030F01">
            <w:pPr>
              <w:contextualSpacing/>
              <w:rPr>
                <w:iCs/>
                <w:szCs w:val="20"/>
                <w:lang w:val="en-US"/>
              </w:rPr>
            </w:pPr>
            <w:r w:rsidRPr="003133AC">
              <w:rPr>
                <w:iCs/>
                <w:szCs w:val="20"/>
                <w:lang w:val="en-US"/>
              </w:rPr>
              <w:t xml:space="preserve">Ieva Gintere, </w:t>
            </w:r>
            <w:proofErr w:type="spellStart"/>
            <w:r w:rsidRPr="003133AC">
              <w:rPr>
                <w:iCs/>
                <w:szCs w:val="20"/>
                <w:lang w:val="en-US"/>
              </w:rPr>
              <w:t>dr.art</w:t>
            </w:r>
            <w:proofErr w:type="spellEnd"/>
            <w:r w:rsidRPr="003133AC">
              <w:rPr>
                <w:iCs/>
                <w:szCs w:val="20"/>
                <w:lang w:val="en-US"/>
              </w:rPr>
              <w:t xml:space="preserve">., researcher, +371 29907813, </w:t>
            </w:r>
            <w:hyperlink r:id="rId8" w:history="1">
              <w:r w:rsidRPr="003133AC">
                <w:rPr>
                  <w:rStyle w:val="Hyperlink"/>
                  <w:iCs/>
                  <w:szCs w:val="20"/>
                  <w:lang w:val="en-US"/>
                </w:rPr>
                <w:t>ieva.gintere@va.lv</w:t>
              </w:r>
            </w:hyperlink>
            <w:r w:rsidRPr="003133AC">
              <w:rPr>
                <w:iCs/>
                <w:szCs w:val="20"/>
                <w:lang w:val="en-US"/>
              </w:rPr>
              <w:t xml:space="preserve"> </w:t>
            </w:r>
          </w:p>
        </w:tc>
      </w:tr>
      <w:tr w:rsidR="00705A18" w:rsidRPr="003133AC" w14:paraId="4903740B" w14:textId="77777777" w:rsidTr="00576CCC">
        <w:tc>
          <w:tcPr>
            <w:tcW w:w="2972" w:type="dxa"/>
          </w:tcPr>
          <w:p w14:paraId="0CB1E93A" w14:textId="77777777" w:rsidR="00705A18" w:rsidRPr="003133AC" w:rsidRDefault="00705A18" w:rsidP="00030F01">
            <w:pPr>
              <w:contextualSpacing/>
              <w:rPr>
                <w:szCs w:val="20"/>
                <w:lang w:val="en-US"/>
              </w:rPr>
            </w:pPr>
            <w:proofErr w:type="spellStart"/>
            <w:r w:rsidRPr="003133AC">
              <w:rPr>
                <w:szCs w:val="20"/>
                <w:lang w:val="en-US"/>
              </w:rPr>
              <w:t>Organisation</w:t>
            </w:r>
            <w:proofErr w:type="spellEnd"/>
            <w:r w:rsidRPr="003133AC">
              <w:rPr>
                <w:szCs w:val="20"/>
                <w:lang w:val="en-US"/>
              </w:rPr>
              <w:t xml:space="preserve"> type</w:t>
            </w:r>
          </w:p>
        </w:tc>
        <w:tc>
          <w:tcPr>
            <w:tcW w:w="6656" w:type="dxa"/>
          </w:tcPr>
          <w:p w14:paraId="204D1AA2" w14:textId="254D8776" w:rsidR="00705A18" w:rsidRPr="003133AC" w:rsidRDefault="00D75F7C" w:rsidP="00030F01">
            <w:pPr>
              <w:contextualSpacing/>
              <w:rPr>
                <w:iCs/>
                <w:szCs w:val="20"/>
                <w:lang w:val="en-US"/>
              </w:rPr>
            </w:pPr>
            <w:r w:rsidRPr="003133AC">
              <w:rPr>
                <w:iCs/>
                <w:szCs w:val="20"/>
                <w:lang w:val="en-US"/>
              </w:rPr>
              <w:t>P</w:t>
            </w:r>
            <w:r w:rsidR="00705A18" w:rsidRPr="003133AC">
              <w:rPr>
                <w:iCs/>
                <w:szCs w:val="20"/>
                <w:lang w:val="en-US"/>
              </w:rPr>
              <w:t xml:space="preserve">ublic </w:t>
            </w:r>
            <w:proofErr w:type="spellStart"/>
            <w:r w:rsidR="00705A18" w:rsidRPr="003133AC">
              <w:rPr>
                <w:iCs/>
                <w:szCs w:val="20"/>
                <w:lang w:val="en-US"/>
              </w:rPr>
              <w:t>organisation</w:t>
            </w:r>
            <w:proofErr w:type="spellEnd"/>
          </w:p>
        </w:tc>
      </w:tr>
      <w:tr w:rsidR="00705A18" w:rsidRPr="003133AC" w14:paraId="7CD03E1F" w14:textId="77777777" w:rsidTr="00576CCC">
        <w:tc>
          <w:tcPr>
            <w:tcW w:w="2972" w:type="dxa"/>
          </w:tcPr>
          <w:p w14:paraId="2487B6DE" w14:textId="77777777" w:rsidR="00705A18" w:rsidRPr="003133AC" w:rsidRDefault="00705A18" w:rsidP="00030F01">
            <w:pPr>
              <w:contextualSpacing/>
              <w:rPr>
                <w:szCs w:val="20"/>
                <w:lang w:val="en-US"/>
              </w:rPr>
            </w:pPr>
            <w:r w:rsidRPr="003133AC">
              <w:rPr>
                <w:szCs w:val="20"/>
                <w:lang w:val="en-US"/>
              </w:rPr>
              <w:t>Scale of the organization</w:t>
            </w:r>
          </w:p>
        </w:tc>
        <w:tc>
          <w:tcPr>
            <w:tcW w:w="6656" w:type="dxa"/>
          </w:tcPr>
          <w:p w14:paraId="057F3992" w14:textId="1ED6A2DF" w:rsidR="00705A18" w:rsidRPr="003133AC" w:rsidRDefault="00705A18" w:rsidP="00030F01">
            <w:pPr>
              <w:contextualSpacing/>
              <w:rPr>
                <w:i/>
                <w:szCs w:val="20"/>
                <w:lang w:val="en-US"/>
              </w:rPr>
            </w:pPr>
          </w:p>
        </w:tc>
      </w:tr>
      <w:tr w:rsidR="00705A18" w:rsidRPr="003133AC" w14:paraId="522FEC19" w14:textId="77777777" w:rsidTr="00576CCC">
        <w:tc>
          <w:tcPr>
            <w:tcW w:w="2972" w:type="dxa"/>
          </w:tcPr>
          <w:p w14:paraId="5BEC3248" w14:textId="77777777" w:rsidR="00705A18" w:rsidRPr="003133AC" w:rsidRDefault="00705A18" w:rsidP="00030F01">
            <w:pPr>
              <w:contextualSpacing/>
              <w:rPr>
                <w:szCs w:val="20"/>
                <w:lang w:val="en-US"/>
              </w:rPr>
            </w:pPr>
            <w:r w:rsidRPr="003133AC">
              <w:rPr>
                <w:szCs w:val="20"/>
                <w:lang w:val="en-US"/>
              </w:rPr>
              <w:t>PIC number</w:t>
            </w:r>
          </w:p>
        </w:tc>
        <w:tc>
          <w:tcPr>
            <w:tcW w:w="6656" w:type="dxa"/>
          </w:tcPr>
          <w:p w14:paraId="0F51DA49" w14:textId="3FB00BD9" w:rsidR="00705A18" w:rsidRPr="003133AC" w:rsidRDefault="00705A18" w:rsidP="00030F01">
            <w:pPr>
              <w:contextualSpacing/>
              <w:rPr>
                <w:i/>
                <w:szCs w:val="20"/>
                <w:lang w:val="en-US"/>
              </w:rPr>
            </w:pPr>
          </w:p>
        </w:tc>
      </w:tr>
      <w:tr w:rsidR="00705A18" w:rsidRPr="003133AC" w14:paraId="72690D65" w14:textId="77777777" w:rsidTr="00576CCC">
        <w:trPr>
          <w:trHeight w:val="70"/>
        </w:trPr>
        <w:tc>
          <w:tcPr>
            <w:tcW w:w="2972" w:type="dxa"/>
          </w:tcPr>
          <w:p w14:paraId="13816329" w14:textId="77777777" w:rsidR="00705A18" w:rsidRPr="003133AC" w:rsidRDefault="00705A18" w:rsidP="00030F01">
            <w:pPr>
              <w:contextualSpacing/>
              <w:rPr>
                <w:szCs w:val="20"/>
                <w:lang w:val="en-US"/>
              </w:rPr>
            </w:pPr>
            <w:r w:rsidRPr="003133AC">
              <w:rPr>
                <w:szCs w:val="20"/>
                <w:lang w:val="en-US"/>
              </w:rPr>
              <w:t xml:space="preserve">Aims and activities of the </w:t>
            </w:r>
            <w:proofErr w:type="spellStart"/>
            <w:r w:rsidRPr="003133AC">
              <w:rPr>
                <w:szCs w:val="20"/>
                <w:lang w:val="en-US"/>
              </w:rPr>
              <w:t>organisation</w:t>
            </w:r>
            <w:proofErr w:type="spellEnd"/>
            <w:r w:rsidRPr="003133AC">
              <w:rPr>
                <w:szCs w:val="20"/>
                <w:lang w:val="en-US"/>
              </w:rPr>
              <w:t xml:space="preserve"> </w:t>
            </w:r>
          </w:p>
        </w:tc>
        <w:tc>
          <w:tcPr>
            <w:tcW w:w="6656" w:type="dxa"/>
          </w:tcPr>
          <w:p w14:paraId="65C5DAD5" w14:textId="639E9DC2" w:rsidR="00705A18" w:rsidRPr="003133AC" w:rsidRDefault="000630A2" w:rsidP="00030F01">
            <w:pPr>
              <w:contextualSpacing/>
              <w:rPr>
                <w:iCs/>
                <w:szCs w:val="20"/>
                <w:lang w:val="en-US"/>
              </w:rPr>
            </w:pPr>
            <w:r w:rsidRPr="003133AC">
              <w:rPr>
                <w:iCs/>
                <w:szCs w:val="20"/>
                <w:lang w:val="en-US"/>
              </w:rPr>
              <w:t>Studies, research</w:t>
            </w:r>
          </w:p>
        </w:tc>
      </w:tr>
      <w:tr w:rsidR="00705A18" w:rsidRPr="003133AC" w14:paraId="46C84B74" w14:textId="77777777" w:rsidTr="00576CCC">
        <w:trPr>
          <w:trHeight w:val="70"/>
        </w:trPr>
        <w:tc>
          <w:tcPr>
            <w:tcW w:w="2972" w:type="dxa"/>
          </w:tcPr>
          <w:p w14:paraId="4333CABC" w14:textId="77777777" w:rsidR="00705A18" w:rsidRPr="003133AC" w:rsidRDefault="00705A18" w:rsidP="00030F01">
            <w:pPr>
              <w:contextualSpacing/>
              <w:rPr>
                <w:szCs w:val="20"/>
                <w:lang w:val="en-US"/>
              </w:rPr>
            </w:pPr>
            <w:r w:rsidRPr="003133AC">
              <w:rPr>
                <w:szCs w:val="20"/>
                <w:lang w:val="en-US"/>
              </w:rPr>
              <w:t xml:space="preserve">Role of the </w:t>
            </w:r>
            <w:proofErr w:type="spellStart"/>
            <w:r w:rsidRPr="003133AC">
              <w:rPr>
                <w:szCs w:val="20"/>
                <w:lang w:val="en-US"/>
              </w:rPr>
              <w:t>organisation</w:t>
            </w:r>
            <w:proofErr w:type="spellEnd"/>
            <w:r w:rsidRPr="003133AC">
              <w:rPr>
                <w:szCs w:val="20"/>
                <w:lang w:val="en-US"/>
              </w:rPr>
              <w:t xml:space="preserve"> in the project</w:t>
            </w:r>
          </w:p>
        </w:tc>
        <w:tc>
          <w:tcPr>
            <w:tcW w:w="6656" w:type="dxa"/>
          </w:tcPr>
          <w:p w14:paraId="34F56FA1" w14:textId="65AC8897" w:rsidR="00705A18" w:rsidRPr="003133AC" w:rsidRDefault="00D75F7C" w:rsidP="00030F01">
            <w:pPr>
              <w:contextualSpacing/>
              <w:rPr>
                <w:iCs/>
                <w:szCs w:val="20"/>
                <w:lang w:val="en-US"/>
              </w:rPr>
            </w:pPr>
            <w:r w:rsidRPr="003133AC">
              <w:rPr>
                <w:iCs/>
                <w:szCs w:val="20"/>
                <w:lang w:val="en-US"/>
              </w:rPr>
              <w:t>P</w:t>
            </w:r>
            <w:r w:rsidR="00705A18" w:rsidRPr="003133AC">
              <w:rPr>
                <w:iCs/>
                <w:szCs w:val="20"/>
                <w:lang w:val="en-US"/>
              </w:rPr>
              <w:t>roject leader or project partner</w:t>
            </w:r>
          </w:p>
        </w:tc>
      </w:tr>
      <w:tr w:rsidR="00705A18" w:rsidRPr="003133AC" w14:paraId="0E48892D" w14:textId="77777777" w:rsidTr="00576CCC">
        <w:trPr>
          <w:trHeight w:val="70"/>
        </w:trPr>
        <w:tc>
          <w:tcPr>
            <w:tcW w:w="2972" w:type="dxa"/>
          </w:tcPr>
          <w:p w14:paraId="0D03846D" w14:textId="77777777" w:rsidR="00705A18" w:rsidRPr="003133AC" w:rsidRDefault="00705A18" w:rsidP="00030F01">
            <w:pPr>
              <w:contextualSpacing/>
              <w:rPr>
                <w:szCs w:val="20"/>
                <w:lang w:val="en-US"/>
              </w:rPr>
            </w:pPr>
            <w:r w:rsidRPr="003133AC">
              <w:rPr>
                <w:szCs w:val="20"/>
                <w:lang w:val="en-US"/>
              </w:rPr>
              <w:t>Previous EU grants received</w:t>
            </w:r>
          </w:p>
        </w:tc>
        <w:tc>
          <w:tcPr>
            <w:tcW w:w="6656" w:type="dxa"/>
          </w:tcPr>
          <w:p w14:paraId="5AFBF08F" w14:textId="537F7F45" w:rsidR="00705A18" w:rsidRPr="003133AC" w:rsidRDefault="007A4367" w:rsidP="00030F01">
            <w:pPr>
              <w:contextualSpacing/>
              <w:rPr>
                <w:iCs/>
                <w:szCs w:val="20"/>
                <w:lang w:val="en-US"/>
              </w:rPr>
            </w:pPr>
            <w:proofErr w:type="spellStart"/>
            <w:r w:rsidRPr="003133AC">
              <w:rPr>
                <w:iCs/>
                <w:szCs w:val="20"/>
                <w:lang w:val="en-US"/>
              </w:rPr>
              <w:t>PostDoctoral</w:t>
            </w:r>
            <w:proofErr w:type="spellEnd"/>
            <w:r w:rsidRPr="003133AC">
              <w:rPr>
                <w:iCs/>
                <w:szCs w:val="20"/>
                <w:lang w:val="en-US"/>
              </w:rPr>
              <w:t xml:space="preserve"> Program, Horizon2020</w:t>
            </w:r>
            <w:r w:rsidR="003133AC" w:rsidRPr="003133AC">
              <w:rPr>
                <w:iCs/>
                <w:szCs w:val="20"/>
                <w:lang w:val="en-US"/>
              </w:rPr>
              <w:t>, ERDF projects</w:t>
            </w:r>
            <w:r w:rsidRPr="003133AC">
              <w:rPr>
                <w:iCs/>
                <w:szCs w:val="20"/>
                <w:lang w:val="en-US"/>
              </w:rPr>
              <w:t xml:space="preserve"> and others</w:t>
            </w:r>
          </w:p>
        </w:tc>
      </w:tr>
    </w:tbl>
    <w:p w14:paraId="0FC3340E" w14:textId="77777777" w:rsidR="00FC4A35" w:rsidRPr="003133AC" w:rsidRDefault="00FC4A35" w:rsidP="00030F01">
      <w:pPr>
        <w:spacing w:after="0" w:line="240" w:lineRule="auto"/>
        <w:contextualSpacing/>
        <w:rPr>
          <w:szCs w:val="20"/>
          <w:lang w:val="en-US"/>
        </w:rPr>
      </w:pPr>
    </w:p>
    <w:p w14:paraId="4EB0B31C" w14:textId="77777777" w:rsidR="00FC4A35" w:rsidRPr="003133AC" w:rsidRDefault="00FC4A35" w:rsidP="00030F01">
      <w:pPr>
        <w:pStyle w:val="Heading2"/>
        <w:spacing w:before="0" w:line="240" w:lineRule="auto"/>
        <w:contextualSpacing/>
        <w:rPr>
          <w:szCs w:val="20"/>
          <w:lang w:val="en-US"/>
        </w:rPr>
      </w:pPr>
      <w:r w:rsidRPr="003133AC">
        <w:rPr>
          <w:szCs w:val="20"/>
          <w:lang w:val="en-US"/>
        </w:rPr>
        <w:t>Proposed Creative Europe project</w:t>
      </w:r>
      <w:r w:rsidR="00DE2DD9" w:rsidRPr="003133AC">
        <w:rPr>
          <w:szCs w:val="20"/>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1534"/>
        <w:gridCol w:w="8094"/>
      </w:tblGrid>
      <w:tr w:rsidR="00FC4A35" w:rsidRPr="003133AC" w14:paraId="2063D562" w14:textId="77777777" w:rsidTr="00576CCC">
        <w:tc>
          <w:tcPr>
            <w:tcW w:w="2972" w:type="dxa"/>
          </w:tcPr>
          <w:p w14:paraId="6BD41196" w14:textId="77777777" w:rsidR="00FC4A35" w:rsidRPr="003133AC" w:rsidRDefault="006A2FE9" w:rsidP="00030F01">
            <w:pPr>
              <w:contextualSpacing/>
              <w:rPr>
                <w:szCs w:val="20"/>
                <w:lang w:val="en-US"/>
              </w:rPr>
            </w:pPr>
            <w:r w:rsidRPr="003133AC">
              <w:rPr>
                <w:szCs w:val="20"/>
                <w:lang w:val="en-US"/>
              </w:rPr>
              <w:t>Sector or f</w:t>
            </w:r>
            <w:r w:rsidR="005F4A3F" w:rsidRPr="003133AC">
              <w:rPr>
                <w:szCs w:val="20"/>
                <w:lang w:val="en-US"/>
              </w:rPr>
              <w:t>ield</w:t>
            </w:r>
          </w:p>
        </w:tc>
        <w:tc>
          <w:tcPr>
            <w:tcW w:w="6656" w:type="dxa"/>
          </w:tcPr>
          <w:p w14:paraId="41B38E38" w14:textId="571C1CF2" w:rsidR="00FC4A35" w:rsidRPr="003133AC" w:rsidRDefault="00D75F7C" w:rsidP="00030F01">
            <w:pPr>
              <w:contextualSpacing/>
              <w:rPr>
                <w:iCs/>
                <w:szCs w:val="20"/>
                <w:lang w:val="en-US"/>
              </w:rPr>
            </w:pPr>
            <w:r w:rsidRPr="003133AC">
              <w:rPr>
                <w:iCs/>
                <w:szCs w:val="20"/>
                <w:lang w:val="en-US"/>
              </w:rPr>
              <w:t>Music, visual arts, contemporary arts, cultural heritage, arts and technology</w:t>
            </w:r>
          </w:p>
        </w:tc>
      </w:tr>
      <w:tr w:rsidR="00FC4A35" w:rsidRPr="003133AC" w14:paraId="41671BC3" w14:textId="77777777" w:rsidTr="00576CCC">
        <w:tc>
          <w:tcPr>
            <w:tcW w:w="2972" w:type="dxa"/>
          </w:tcPr>
          <w:p w14:paraId="30FDDEAE" w14:textId="77777777" w:rsidR="00FC4A35" w:rsidRPr="003133AC" w:rsidRDefault="00DE2DD9" w:rsidP="00030F01">
            <w:pPr>
              <w:contextualSpacing/>
              <w:rPr>
                <w:szCs w:val="20"/>
                <w:lang w:val="en-US"/>
              </w:rPr>
            </w:pPr>
            <w:r w:rsidRPr="003133AC">
              <w:rPr>
                <w:szCs w:val="20"/>
                <w:lang w:val="en-US"/>
              </w:rPr>
              <w:t>Description or summary of the proposed project</w:t>
            </w:r>
          </w:p>
        </w:tc>
        <w:tc>
          <w:tcPr>
            <w:tcW w:w="6656" w:type="dxa"/>
          </w:tcPr>
          <w:p w14:paraId="2752DE4A"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The Noise-related Soundscape is intended to be an innovative platform that would represent the field of contemporary sound and serve as a dissemination tool to interactively demonstrate the research results in the field of contemporary music. The sound phenomena related to noise form a current trend in musicology for around hundred years now. It has been largely used in academic and underground music. Yet there are no interactive, playful, and educational media that would teach its history, inform about its antecedents, conceptual background and network of ideas linked to the idea of a noise-related sound. </w:t>
            </w:r>
          </w:p>
          <w:p w14:paraId="31268E8E"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A great variety of noise-related sound is a form of artistic means today that has a rich cultural background. Noise will be analyzed in this project as a cultural symbol to shed light on modern understanding of sound and to show the positive side of noise in the acoustic field represented not as waste but as artefacts of sound ecology. The end-users of the game will be persons interested in the sectors of humanities and arts as well as ecology of culture. The author proposes a methodological approach for the new media creation focused on research into contemporary theory of culture as well as serious gaming. It will be an interactive platform that serves as a knowledge bearer, informing the users about the cultural background of the noise-related sound, its theoretical context and artistic heritage.  </w:t>
            </w:r>
          </w:p>
          <w:p w14:paraId="2F37B6FA"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The platform will function as an educational tool to teach the trends of modern sound art and the noise-related tradition in contemporary culture as well as the intertextual links to modern thought. The platform will be an interactive audio-visual, ambient environment presenting a three-dimensional atmospheric virtual world. The user will be able to enter the residences of sound and learn about the features of modern acoustic aesthetics and its artistic references. The sound residences will demonstrate short texts in a three-dimensional format, the examples of the noise-related sound tradition in digital gaming, academic, alternative, underground music, sound art and new </w:t>
            </w:r>
            <w:r w:rsidRPr="003133AC">
              <w:rPr>
                <w:rFonts w:cs="Times New Roman"/>
                <w:szCs w:val="20"/>
                <w:highlight w:val="white"/>
              </w:rPr>
              <w:lastRenderedPageBreak/>
              <w:t>media art, its historical antecedents such as the scores by Jean Tinguely, Karlheinz Stockhausen, John Cage, Michael Gordon as well as the trend of glitch that is a twin phenomenon of noise in the visual field.</w:t>
            </w:r>
          </w:p>
          <w:p w14:paraId="0773630D"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Ieva Gintere is a Post-doctorate researcher, an expert in the noise-related trend in musicology as well as in contemporary art and serious gaming. The results of her previous research have been published internationally between 2020 and 2014 (see below). Globally, there are almost no studies by now that would marry the fields of noise-related sound and educational platforms. The cross-cutting of arts’ research, educational field, new media, and ecology of sound is a unique focus that corresponds to the idea of interdisciplinary research. </w:t>
            </w:r>
          </w:p>
          <w:p w14:paraId="70AB8F1C"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The author of the new platform intends to deepen the understanding of modern sound that incorporates noise to a great extent, and to cultivate our noise-related aesthetic perception in order to appreciate noise as artefact. Thus, the project will support the collective consciousness to be able to sort various types of noise and to better coexist with those which are a natural part of contemporary culture. The platform will pave the way to a cultivated taste of modern sound and a better knowledge of contemporary sound culture coined by Italian futurists. Noise-related sound is still a relatively new and fuzzy phenomenon that needs to be explained to the general public without a specific education in arts. One of the main functions of the platform will be knowledge transfer. It will describe the historical context of noise phenomena, open new horizons to appreciation of noise-related sound, and help to write the new history of sound.</w:t>
            </w:r>
          </w:p>
          <w:p w14:paraId="009E1784"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 xml:space="preserve"> </w:t>
            </w:r>
          </w:p>
          <w:p w14:paraId="4BF8DD9F" w14:textId="77777777" w:rsidR="003133AC" w:rsidRPr="003133AC" w:rsidRDefault="003133AC" w:rsidP="00030F01">
            <w:pPr>
              <w:contextualSpacing/>
              <w:jc w:val="both"/>
              <w:rPr>
                <w:rFonts w:cs="Times New Roman"/>
                <w:b/>
                <w:szCs w:val="20"/>
                <w:highlight w:val="white"/>
              </w:rPr>
            </w:pPr>
            <w:r w:rsidRPr="003133AC">
              <w:rPr>
                <w:rFonts w:cs="Times New Roman"/>
                <w:b/>
                <w:szCs w:val="20"/>
                <w:highlight w:val="white"/>
              </w:rPr>
              <w:t>Objectives</w:t>
            </w:r>
          </w:p>
          <w:p w14:paraId="255AFF38"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create an innovative animated educative platform in order to teach the trends of modern sound art and the noise-related tradition in contemporary culture using the modern interactive media of gaming,</w:t>
            </w:r>
          </w:p>
          <w:p w14:paraId="2EFDE036"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deepen the understanding of modern sound that incorporates noise to a great extent, and cultivate our noise-related aesthetic perception,</w:t>
            </w:r>
          </w:p>
          <w:p w14:paraId="5C8F3B6D"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pave the way to a cultivated taste of noise-related sound and a better knowledge of contemporary sound culture, to support the social intelligence of modern aesthetics of sound,</w:t>
            </w:r>
          </w:p>
          <w:p w14:paraId="7DE7AD32"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strengthen the new ecology of sound as our natural cultural environment,</w:t>
            </w:r>
          </w:p>
          <w:p w14:paraId="3BEC46E2" w14:textId="77777777" w:rsidR="003133AC" w:rsidRPr="003133AC" w:rsidRDefault="003133AC" w:rsidP="00030F01">
            <w:pPr>
              <w:numPr>
                <w:ilvl w:val="0"/>
                <w:numId w:val="2"/>
              </w:numPr>
              <w:contextualSpacing/>
              <w:jc w:val="both"/>
              <w:rPr>
                <w:rFonts w:cs="Times New Roman"/>
                <w:szCs w:val="20"/>
                <w:highlight w:val="white"/>
              </w:rPr>
            </w:pPr>
            <w:r w:rsidRPr="003133AC">
              <w:rPr>
                <w:rFonts w:cs="Times New Roman"/>
                <w:szCs w:val="20"/>
                <w:highlight w:val="white"/>
              </w:rPr>
              <w:t>to create new synergies between the disciplines of arts' research, edugaming, game art as well as sound ecology.</w:t>
            </w:r>
          </w:p>
          <w:p w14:paraId="72681F58" w14:textId="77777777" w:rsidR="003133AC" w:rsidRPr="003133AC" w:rsidRDefault="003133AC" w:rsidP="00030F01">
            <w:pPr>
              <w:contextualSpacing/>
              <w:jc w:val="both"/>
              <w:rPr>
                <w:rFonts w:cs="Times New Roman"/>
                <w:b/>
                <w:szCs w:val="20"/>
                <w:highlight w:val="white"/>
              </w:rPr>
            </w:pPr>
            <w:r w:rsidRPr="003133AC">
              <w:rPr>
                <w:rFonts w:cs="Times New Roman"/>
                <w:b/>
                <w:szCs w:val="20"/>
                <w:highlight w:val="white"/>
              </w:rPr>
              <w:t xml:space="preserve"> </w:t>
            </w:r>
          </w:p>
          <w:p w14:paraId="1F876B9B" w14:textId="77777777" w:rsidR="003133AC" w:rsidRPr="003133AC" w:rsidRDefault="003133AC" w:rsidP="00030F01">
            <w:pPr>
              <w:contextualSpacing/>
              <w:jc w:val="both"/>
              <w:rPr>
                <w:rFonts w:cs="Times New Roman"/>
                <w:b/>
                <w:szCs w:val="20"/>
                <w:highlight w:val="white"/>
              </w:rPr>
            </w:pPr>
            <w:r w:rsidRPr="003133AC">
              <w:rPr>
                <w:rFonts w:cs="Times New Roman"/>
                <w:b/>
                <w:szCs w:val="20"/>
                <w:highlight w:val="white"/>
              </w:rPr>
              <w:t>Methodology</w:t>
            </w:r>
          </w:p>
          <w:p w14:paraId="2937DDDF" w14:textId="77777777" w:rsidR="003133AC" w:rsidRPr="003133AC" w:rsidRDefault="003133AC" w:rsidP="00030F01">
            <w:pPr>
              <w:contextualSpacing/>
              <w:jc w:val="both"/>
              <w:rPr>
                <w:rFonts w:cs="Times New Roman"/>
                <w:szCs w:val="20"/>
                <w:highlight w:val="white"/>
              </w:rPr>
            </w:pPr>
            <w:r w:rsidRPr="003133AC">
              <w:rPr>
                <w:rFonts w:cs="Times New Roman"/>
                <w:szCs w:val="20"/>
                <w:highlight w:val="white"/>
              </w:rPr>
              <w:t>The methods used will be literature analysis (musicology, new media art theory, modern aesthetics, theory of culture and fields related to it), analysis of noise-related sound examples in academic music as well as underground, alternative and other genres, and knowledge transfer from the field of research to the digital platform by creating a virtual artistic environment.</w:t>
            </w:r>
          </w:p>
          <w:p w14:paraId="52820AC3" w14:textId="77777777" w:rsidR="003133AC" w:rsidRPr="003133AC" w:rsidRDefault="003133AC" w:rsidP="00030F01">
            <w:pPr>
              <w:contextualSpacing/>
              <w:jc w:val="both"/>
              <w:rPr>
                <w:rFonts w:cs="Times New Roman"/>
                <w:szCs w:val="20"/>
                <w:lang w:val="en-US"/>
              </w:rPr>
            </w:pPr>
          </w:p>
          <w:p w14:paraId="61E3B1C1" w14:textId="77777777" w:rsidR="003133AC" w:rsidRPr="003133AC" w:rsidRDefault="003133AC" w:rsidP="00030F01">
            <w:pPr>
              <w:contextualSpacing/>
              <w:jc w:val="both"/>
              <w:rPr>
                <w:rFonts w:cs="Times New Roman"/>
                <w:b/>
                <w:bCs/>
                <w:szCs w:val="20"/>
                <w:lang w:val="en-US"/>
              </w:rPr>
            </w:pPr>
            <w:r w:rsidRPr="003133AC">
              <w:rPr>
                <w:rFonts w:cs="Times New Roman"/>
                <w:b/>
                <w:bCs/>
                <w:szCs w:val="20"/>
                <w:lang w:val="en-US"/>
              </w:rPr>
              <w:t>Results of the previous research by the author</w:t>
            </w:r>
          </w:p>
          <w:p w14:paraId="77272DEC" w14:textId="77777777" w:rsidR="003133AC" w:rsidRPr="003133AC" w:rsidRDefault="003133AC" w:rsidP="00030F01">
            <w:pPr>
              <w:contextualSpacing/>
              <w:jc w:val="both"/>
              <w:rPr>
                <w:rFonts w:eastAsia="Times New Roman" w:cs="Times New Roman"/>
                <w:szCs w:val="20"/>
                <w:lang w:val="en-US" w:eastAsia="en-GB"/>
              </w:rPr>
            </w:pPr>
            <w:r w:rsidRPr="003133AC">
              <w:rPr>
                <w:rFonts w:cs="Times New Roman"/>
                <w:szCs w:val="20"/>
                <w:lang w:val="en-US"/>
              </w:rPr>
              <w:t>Gintere, I. (2020). A Perspective on a New Digital Art Game: The Approach of Research and Knowledge Transfer. Proceedings of the 12</w:t>
            </w:r>
            <w:r w:rsidRPr="003133AC">
              <w:rPr>
                <w:rFonts w:cs="Times New Roman"/>
                <w:szCs w:val="20"/>
                <w:vertAlign w:val="superscript"/>
                <w:lang w:val="en-US"/>
              </w:rPr>
              <w:t>th</w:t>
            </w:r>
            <w:r w:rsidRPr="003133AC">
              <w:rPr>
                <w:rFonts w:cs="Times New Roman"/>
                <w:szCs w:val="20"/>
                <w:lang w:val="en-US"/>
              </w:rPr>
              <w:t xml:space="preserve"> International Conference on Computer Supported Education (CSEDU-2020).</w:t>
            </w:r>
            <w:r w:rsidRPr="003133AC">
              <w:rPr>
                <w:rStyle w:val="apple-converted-space"/>
                <w:rFonts w:cs="Times New Roman"/>
                <w:szCs w:val="20"/>
                <w:lang w:val="en-US"/>
              </w:rPr>
              <w:t> </w:t>
            </w:r>
            <w:r w:rsidRPr="003133AC">
              <w:rPr>
                <w:rFonts w:cs="Times New Roman"/>
                <w:szCs w:val="20"/>
                <w:lang w:val="en-US"/>
              </w:rPr>
              <w:t>Institute for Systems and Technologies of Information, Control and Communication, Prague, May 2</w:t>
            </w:r>
            <w:r w:rsidRPr="003133AC">
              <w:rPr>
                <w:rFonts w:cs="Times New Roman"/>
                <w:szCs w:val="20"/>
                <w:vertAlign w:val="superscript"/>
                <w:lang w:val="en-US"/>
              </w:rPr>
              <w:t>nd</w:t>
            </w:r>
            <w:r w:rsidRPr="003133AC">
              <w:rPr>
                <w:rFonts w:cs="Times New Roman"/>
                <w:szCs w:val="20"/>
                <w:lang w:val="en-US"/>
              </w:rPr>
              <w:t xml:space="preserve">, vol. 1, pp. 311-318, DOI: </w:t>
            </w:r>
            <w:r w:rsidRPr="003133AC">
              <w:rPr>
                <w:rFonts w:eastAsia="Times New Roman" w:cs="Times New Roman"/>
                <w:szCs w:val="20"/>
                <w:shd w:val="clear" w:color="auto" w:fill="FFFFFF"/>
                <w:lang w:val="en-US" w:eastAsia="en-GB"/>
              </w:rPr>
              <w:t>10.5220/0008920603110318. Indexed in Scopus.</w:t>
            </w:r>
          </w:p>
          <w:p w14:paraId="3519BDC2" w14:textId="77777777" w:rsidR="003133AC" w:rsidRPr="003133AC" w:rsidRDefault="003133AC" w:rsidP="00030F01">
            <w:pPr>
              <w:ind w:right="-52"/>
              <w:contextualSpacing/>
              <w:jc w:val="both"/>
              <w:rPr>
                <w:rFonts w:cs="Times New Roman"/>
                <w:szCs w:val="20"/>
                <w:lang w:val="en-US"/>
              </w:rPr>
            </w:pPr>
          </w:p>
          <w:p w14:paraId="37917B3E" w14:textId="77777777" w:rsidR="003133AC" w:rsidRPr="003133AC" w:rsidRDefault="003133AC" w:rsidP="00030F01">
            <w:pPr>
              <w:ind w:right="-52"/>
              <w:contextualSpacing/>
              <w:jc w:val="both"/>
              <w:rPr>
                <w:rFonts w:cs="Times New Roman"/>
                <w:szCs w:val="20"/>
                <w:lang w:val="en-US"/>
              </w:rPr>
            </w:pPr>
            <w:r w:rsidRPr="003133AC">
              <w:rPr>
                <w:rFonts w:cs="Times New Roman"/>
                <w:szCs w:val="20"/>
                <w:lang w:val="en-US"/>
              </w:rPr>
              <w:lastRenderedPageBreak/>
              <w:t>Gintere, I. (2019). A New Digital Art Game: The Art of the Future. 13</w:t>
            </w:r>
            <w:r w:rsidRPr="003133AC">
              <w:rPr>
                <w:rFonts w:cs="Times New Roman"/>
                <w:szCs w:val="20"/>
                <w:vertAlign w:val="superscript"/>
                <w:lang w:val="en-US"/>
              </w:rPr>
              <w:t>th</w:t>
            </w:r>
            <w:r w:rsidRPr="003133AC">
              <w:rPr>
                <w:rFonts w:cs="Times New Roman"/>
                <w:szCs w:val="20"/>
                <w:lang w:val="en-US"/>
              </w:rPr>
              <w:t xml:space="preserve"> International Scientific Conference “Society, Integration, Education” (SIE-2019) Proceedings, vol. 4, pp. 346-360. </w:t>
            </w:r>
            <w:proofErr w:type="spellStart"/>
            <w:r w:rsidRPr="003133AC">
              <w:rPr>
                <w:rFonts w:cs="Times New Roman"/>
                <w:szCs w:val="20"/>
                <w:lang w:val="en-US"/>
              </w:rPr>
              <w:t>Rēzekne</w:t>
            </w:r>
            <w:proofErr w:type="spellEnd"/>
            <w:r w:rsidRPr="003133AC">
              <w:rPr>
                <w:rFonts w:cs="Times New Roman"/>
                <w:szCs w:val="20"/>
                <w:lang w:val="en-US"/>
              </w:rPr>
              <w:t xml:space="preserve"> Academy of Technologies. </w:t>
            </w:r>
            <w:r w:rsidRPr="003133AC">
              <w:rPr>
                <w:rFonts w:eastAsia="Times New Roman" w:cs="Times New Roman"/>
                <w:szCs w:val="20"/>
                <w:lang w:val="en-US"/>
              </w:rPr>
              <w:t xml:space="preserve">Available at: </w:t>
            </w:r>
            <w:hyperlink r:id="rId9" w:history="1">
              <w:r w:rsidRPr="003133AC">
                <w:rPr>
                  <w:rStyle w:val="Hyperlink"/>
                  <w:rFonts w:cs="Times New Roman"/>
                  <w:szCs w:val="20"/>
                  <w:lang w:val="en-US"/>
                </w:rPr>
                <w:t>http://journals.ru.lv/index.php/SIE/article/view/3674/3867</w:t>
              </w:r>
            </w:hyperlink>
            <w:r w:rsidRPr="003133AC">
              <w:rPr>
                <w:rFonts w:eastAsia="Times New Roman" w:cs="Times New Roman"/>
                <w:szCs w:val="20"/>
                <w:lang w:val="en-US"/>
              </w:rPr>
              <w:t xml:space="preserve">. </w:t>
            </w:r>
          </w:p>
          <w:p w14:paraId="6331C31A" w14:textId="77777777" w:rsidR="003133AC" w:rsidRPr="003133AC" w:rsidRDefault="003133AC" w:rsidP="00030F01">
            <w:pPr>
              <w:ind w:right="-52"/>
              <w:contextualSpacing/>
              <w:jc w:val="both"/>
              <w:rPr>
                <w:rFonts w:cs="Times New Roman"/>
                <w:szCs w:val="20"/>
                <w:lang w:val="en-US"/>
              </w:rPr>
            </w:pPr>
          </w:p>
          <w:p w14:paraId="0716A486" w14:textId="77777777" w:rsidR="003133AC" w:rsidRPr="003133AC" w:rsidRDefault="003133AC" w:rsidP="00030F01">
            <w:pPr>
              <w:ind w:right="-52"/>
              <w:contextualSpacing/>
              <w:jc w:val="both"/>
              <w:rPr>
                <w:rFonts w:eastAsia="Times New Roman" w:cs="Times New Roman"/>
                <w:szCs w:val="20"/>
                <w:lang w:val="en-US"/>
              </w:rPr>
            </w:pPr>
            <w:r w:rsidRPr="003133AC">
              <w:rPr>
                <w:rFonts w:cs="Times New Roman"/>
                <w:szCs w:val="20"/>
                <w:lang w:val="en-US" w:eastAsia="en-GB"/>
              </w:rPr>
              <w:t xml:space="preserve">Gintere, I., </w:t>
            </w:r>
            <w:proofErr w:type="spellStart"/>
            <w:r w:rsidRPr="003133AC">
              <w:rPr>
                <w:rFonts w:cs="Times New Roman"/>
                <w:szCs w:val="20"/>
                <w:lang w:val="en-US" w:eastAsia="en-GB"/>
              </w:rPr>
              <w:t>Zagorskis</w:t>
            </w:r>
            <w:proofErr w:type="spellEnd"/>
            <w:r w:rsidRPr="003133AC">
              <w:rPr>
                <w:rFonts w:cs="Times New Roman"/>
                <w:szCs w:val="20"/>
                <w:lang w:val="en-US" w:eastAsia="en-GB"/>
              </w:rPr>
              <w:t xml:space="preserve">, V., </w:t>
            </w:r>
            <w:proofErr w:type="spellStart"/>
            <w:r w:rsidRPr="003133AC">
              <w:rPr>
                <w:rFonts w:cs="Times New Roman"/>
                <w:szCs w:val="20"/>
                <w:lang w:val="en-US" w:eastAsia="en-GB"/>
              </w:rPr>
              <w:t>Kapenieks</w:t>
            </w:r>
            <w:proofErr w:type="spellEnd"/>
            <w:r w:rsidRPr="003133AC">
              <w:rPr>
                <w:rFonts w:cs="Times New Roman"/>
                <w:szCs w:val="20"/>
                <w:lang w:val="en-US" w:eastAsia="en-GB"/>
              </w:rPr>
              <w:t xml:space="preserve">, A. (2018). Concepts of E-learning Accessibility Improvement – Codes of New Media Art and User </w:t>
            </w:r>
            <w:proofErr w:type="spellStart"/>
            <w:r w:rsidRPr="003133AC">
              <w:rPr>
                <w:rFonts w:cs="Times New Roman"/>
                <w:szCs w:val="20"/>
                <w:lang w:val="en-US" w:eastAsia="en-GB"/>
              </w:rPr>
              <w:t>Behaviour</w:t>
            </w:r>
            <w:proofErr w:type="spellEnd"/>
            <w:r w:rsidRPr="003133AC">
              <w:rPr>
                <w:rFonts w:cs="Times New Roman"/>
                <w:szCs w:val="20"/>
                <w:lang w:val="en-US" w:eastAsia="en-GB"/>
              </w:rPr>
              <w:t xml:space="preserve"> Study. 10th CSEDU International Conference on Computer Supported Education, 1, pp. 426-431. Portugal, Madeira, March 15</w:t>
            </w:r>
            <w:r w:rsidRPr="003133AC">
              <w:rPr>
                <w:rFonts w:cs="Times New Roman"/>
                <w:szCs w:val="20"/>
                <w:vertAlign w:val="superscript"/>
                <w:lang w:val="en-US"/>
              </w:rPr>
              <w:t>th</w:t>
            </w:r>
            <w:r w:rsidRPr="003133AC">
              <w:rPr>
                <w:rFonts w:cs="Times New Roman"/>
                <w:szCs w:val="20"/>
                <w:lang w:val="en-US" w:eastAsia="en-GB"/>
              </w:rPr>
              <w:t xml:space="preserve"> -17</w:t>
            </w:r>
            <w:r w:rsidRPr="003133AC">
              <w:rPr>
                <w:rFonts w:cs="Times New Roman"/>
                <w:szCs w:val="20"/>
                <w:vertAlign w:val="superscript"/>
                <w:lang w:val="en-US"/>
              </w:rPr>
              <w:t>th</w:t>
            </w:r>
            <w:r w:rsidRPr="003133AC">
              <w:rPr>
                <w:rFonts w:cs="Times New Roman"/>
                <w:szCs w:val="20"/>
                <w:lang w:val="en-US" w:eastAsia="en-GB"/>
              </w:rPr>
              <w:t xml:space="preserve"> 2018. </w:t>
            </w:r>
            <w:r w:rsidRPr="003133AC">
              <w:rPr>
                <w:rFonts w:eastAsia="Times New Roman" w:cs="Times New Roman"/>
                <w:szCs w:val="20"/>
                <w:shd w:val="clear" w:color="auto" w:fill="FFFFFF"/>
                <w:lang w:val="en-US"/>
              </w:rPr>
              <w:t>DOI: 10.5220/0006787304260431</w:t>
            </w:r>
            <w:r w:rsidRPr="003133AC">
              <w:rPr>
                <w:rFonts w:eastAsia="Times New Roman" w:cs="Times New Roman"/>
                <w:szCs w:val="20"/>
                <w:lang w:val="en-US"/>
              </w:rPr>
              <w:t>. SP 1. Available at:</w:t>
            </w:r>
          </w:p>
          <w:p w14:paraId="0AB2679F" w14:textId="77777777" w:rsidR="003133AC" w:rsidRPr="003133AC" w:rsidRDefault="00D70518" w:rsidP="00030F01">
            <w:pPr>
              <w:contextualSpacing/>
              <w:jc w:val="both"/>
              <w:rPr>
                <w:rFonts w:eastAsia="Times New Roman" w:cs="Times New Roman"/>
                <w:szCs w:val="20"/>
                <w:lang w:val="en-US" w:eastAsia="en-GB"/>
              </w:rPr>
            </w:pPr>
            <w:hyperlink r:id="rId10" w:history="1">
              <w:r w:rsidR="003133AC" w:rsidRPr="003133AC">
                <w:rPr>
                  <w:rStyle w:val="Hyperlink"/>
                  <w:rFonts w:eastAsia="Times New Roman" w:cs="Times New Roman"/>
                  <w:szCs w:val="20"/>
                  <w:lang w:val="en-US"/>
                </w:rPr>
                <w:t>https://www.scitepress.org/PublicationsDetail.aspx?ID=ZviUvMDGMek=&amp;t=1</w:t>
              </w:r>
            </w:hyperlink>
            <w:r w:rsidR="003133AC" w:rsidRPr="003133AC">
              <w:rPr>
                <w:rStyle w:val="Hyperlink"/>
                <w:rFonts w:eastAsia="Times New Roman" w:cs="Times New Roman"/>
                <w:szCs w:val="20"/>
                <w:lang w:val="en-US"/>
              </w:rPr>
              <w:t>.</w:t>
            </w:r>
            <w:r w:rsidR="003133AC" w:rsidRPr="003133AC">
              <w:rPr>
                <w:rFonts w:eastAsia="Times New Roman" w:cs="Times New Roman"/>
                <w:szCs w:val="20"/>
                <w:shd w:val="clear" w:color="auto" w:fill="FFFFFF"/>
                <w:lang w:val="en-US" w:eastAsia="en-GB"/>
              </w:rPr>
              <w:t xml:space="preserve"> Indexed in Scopus.</w:t>
            </w:r>
          </w:p>
          <w:p w14:paraId="793E086A" w14:textId="77777777" w:rsidR="003133AC" w:rsidRPr="003133AC" w:rsidRDefault="003133AC" w:rsidP="00030F01">
            <w:pPr>
              <w:ind w:right="-52"/>
              <w:contextualSpacing/>
              <w:jc w:val="both"/>
              <w:rPr>
                <w:rFonts w:eastAsia="Times New Roman" w:cs="Times New Roman"/>
                <w:szCs w:val="20"/>
                <w:lang w:val="en-US"/>
              </w:rPr>
            </w:pPr>
          </w:p>
          <w:p w14:paraId="5BD5B98D" w14:textId="77777777" w:rsidR="003133AC" w:rsidRPr="003133AC" w:rsidRDefault="003133AC" w:rsidP="00030F01">
            <w:pPr>
              <w:ind w:right="-52"/>
              <w:contextualSpacing/>
              <w:jc w:val="both"/>
              <w:rPr>
                <w:rFonts w:cs="Times New Roman"/>
                <w:szCs w:val="20"/>
                <w:lang w:val="en-US" w:eastAsia="x-none"/>
              </w:rPr>
            </w:pPr>
            <w:r w:rsidRPr="003133AC">
              <w:rPr>
                <w:rFonts w:cs="Times New Roman"/>
                <w:szCs w:val="20"/>
                <w:lang w:val="en-US" w:eastAsia="x-none"/>
              </w:rPr>
              <w:t>Gintere, I. (2017). Codes of Musical Modernism and Latvian Contemporary Music. 4</w:t>
            </w:r>
            <w:r w:rsidRPr="003133AC">
              <w:rPr>
                <w:rFonts w:cs="Times New Roman"/>
                <w:szCs w:val="20"/>
                <w:vertAlign w:val="superscript"/>
                <w:lang w:val="en-US" w:eastAsia="x-none"/>
              </w:rPr>
              <w:t>th</w:t>
            </w:r>
            <w:r w:rsidRPr="003133AC">
              <w:rPr>
                <w:rFonts w:cs="Times New Roman"/>
                <w:szCs w:val="20"/>
                <w:lang w:val="en-US" w:eastAsia="x-none"/>
              </w:rPr>
              <w:t xml:space="preserve"> International Multidisciplinary Scientific Conference on Social Sciences &amp; Arts SGEM: conference proceedings. Book 6, Science and Arts, Volume 1. Vienna: SGEM. pp. 435-442.</w:t>
            </w:r>
          </w:p>
          <w:p w14:paraId="313C378E" w14:textId="77777777" w:rsidR="003133AC" w:rsidRPr="003133AC" w:rsidRDefault="003133AC" w:rsidP="00030F01">
            <w:pPr>
              <w:ind w:right="-52"/>
              <w:contextualSpacing/>
              <w:jc w:val="both"/>
              <w:rPr>
                <w:rFonts w:cs="Times New Roman"/>
                <w:szCs w:val="20"/>
                <w:lang w:val="en-US" w:eastAsia="x-none"/>
              </w:rPr>
            </w:pPr>
          </w:p>
          <w:p w14:paraId="6E2C1A8D" w14:textId="77777777" w:rsidR="003133AC" w:rsidRPr="003133AC" w:rsidRDefault="003133AC" w:rsidP="00030F01">
            <w:pPr>
              <w:ind w:right="-52"/>
              <w:contextualSpacing/>
              <w:jc w:val="both"/>
              <w:rPr>
                <w:rFonts w:cs="Times New Roman"/>
                <w:szCs w:val="20"/>
                <w:lang w:val="en-US" w:eastAsia="x-none"/>
              </w:rPr>
            </w:pPr>
            <w:r w:rsidRPr="003133AC">
              <w:rPr>
                <w:rFonts w:cs="Times New Roman"/>
                <w:szCs w:val="20"/>
                <w:lang w:val="en-US" w:eastAsia="x-none"/>
              </w:rPr>
              <w:t xml:space="preserve">Gintere, I. (2014). The Musical Time-space in European Avant-garde and in Latvian New Music. Dimensions of Artistic Education: European Culture between East and West – Tradition and Modernity, Vol. 10. Iasi, Romania: George Enescu University of Arts. pp. 6-14. Available at: </w:t>
            </w:r>
            <w:hyperlink r:id="rId11" w:history="1">
              <w:r w:rsidRPr="003133AC">
                <w:rPr>
                  <w:rStyle w:val="Hyperlink"/>
                  <w:rFonts w:cs="Times New Roman"/>
                  <w:szCs w:val="20"/>
                  <w:lang w:val="en-US" w:eastAsia="x-none" w:bidi="hi-IN"/>
                </w:rPr>
                <w:t>http://tinread.usarb.md:8888/tinread/fulltext/pasca/educatie10.pdf</w:t>
              </w:r>
            </w:hyperlink>
            <w:r w:rsidRPr="003133AC">
              <w:rPr>
                <w:rFonts w:cs="Times New Roman"/>
                <w:szCs w:val="20"/>
                <w:lang w:val="en-US" w:eastAsia="x-none"/>
              </w:rPr>
              <w:t xml:space="preserve">. </w:t>
            </w:r>
          </w:p>
          <w:p w14:paraId="16547708" w14:textId="77777777" w:rsidR="00FC4A35" w:rsidRPr="003133AC" w:rsidRDefault="00FC4A35" w:rsidP="00030F01">
            <w:pPr>
              <w:contextualSpacing/>
              <w:rPr>
                <w:szCs w:val="20"/>
                <w:lang w:val="en-US"/>
              </w:rPr>
            </w:pPr>
          </w:p>
        </w:tc>
      </w:tr>
      <w:tr w:rsidR="00DE2DD9" w:rsidRPr="003133AC" w14:paraId="53AFF34E" w14:textId="77777777" w:rsidTr="00576CCC">
        <w:tc>
          <w:tcPr>
            <w:tcW w:w="2972" w:type="dxa"/>
          </w:tcPr>
          <w:p w14:paraId="2BA0E7F9" w14:textId="77777777" w:rsidR="00DE2DD9" w:rsidRPr="003133AC" w:rsidRDefault="00DE2DD9" w:rsidP="00030F01">
            <w:pPr>
              <w:contextualSpacing/>
              <w:rPr>
                <w:szCs w:val="20"/>
                <w:lang w:val="en-US"/>
              </w:rPr>
            </w:pPr>
            <w:r w:rsidRPr="003133AC">
              <w:rPr>
                <w:szCs w:val="20"/>
                <w:lang w:val="en-US"/>
              </w:rPr>
              <w:lastRenderedPageBreak/>
              <w:t>Partners currently involved in the project</w:t>
            </w:r>
          </w:p>
        </w:tc>
        <w:tc>
          <w:tcPr>
            <w:tcW w:w="6656" w:type="dxa"/>
          </w:tcPr>
          <w:p w14:paraId="56F01705" w14:textId="6222F668" w:rsidR="00DE2DD9" w:rsidRPr="003133AC" w:rsidRDefault="003133AC" w:rsidP="00030F01">
            <w:pPr>
              <w:contextualSpacing/>
              <w:rPr>
                <w:szCs w:val="20"/>
                <w:lang w:val="en-US"/>
              </w:rPr>
            </w:pPr>
            <w:r w:rsidRPr="003133AC">
              <w:rPr>
                <w:szCs w:val="20"/>
                <w:lang w:val="en-US"/>
              </w:rPr>
              <w:t>Kristaps Biters,</w:t>
            </w:r>
            <w:r>
              <w:rPr>
                <w:szCs w:val="20"/>
                <w:lang w:val="en-US"/>
              </w:rPr>
              <w:t xml:space="preserve"> The Art </w:t>
            </w:r>
            <w:r w:rsidRPr="003133AC">
              <w:rPr>
                <w:szCs w:val="20"/>
                <w:lang w:val="en-US"/>
              </w:rPr>
              <w:t xml:space="preserve">Academy of </w:t>
            </w:r>
            <w:r>
              <w:rPr>
                <w:szCs w:val="20"/>
                <w:lang w:val="en-US"/>
              </w:rPr>
              <w:t>Latvia</w:t>
            </w:r>
          </w:p>
        </w:tc>
      </w:tr>
    </w:tbl>
    <w:p w14:paraId="2015E509" w14:textId="77777777" w:rsidR="00FC4A35" w:rsidRPr="003133AC" w:rsidRDefault="00FC4A35" w:rsidP="00030F01">
      <w:pPr>
        <w:spacing w:after="0" w:line="240" w:lineRule="auto"/>
        <w:contextualSpacing/>
        <w:rPr>
          <w:szCs w:val="20"/>
          <w:lang w:val="en-US"/>
        </w:rPr>
      </w:pPr>
    </w:p>
    <w:p w14:paraId="03003AC1" w14:textId="77777777" w:rsidR="00DE2DD9" w:rsidRPr="003133AC" w:rsidRDefault="00DE2DD9" w:rsidP="00030F01">
      <w:pPr>
        <w:pStyle w:val="Heading2"/>
        <w:spacing w:before="0" w:line="240" w:lineRule="auto"/>
        <w:contextualSpacing/>
        <w:rPr>
          <w:szCs w:val="20"/>
          <w:lang w:val="en-US"/>
        </w:rPr>
      </w:pPr>
      <w:r w:rsidRPr="003133AC">
        <w:rPr>
          <w:szCs w:val="20"/>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3133AC" w14:paraId="260F623F" w14:textId="77777777" w:rsidTr="00576CCC">
        <w:tc>
          <w:tcPr>
            <w:tcW w:w="2972" w:type="dxa"/>
          </w:tcPr>
          <w:p w14:paraId="3ADA9F3B" w14:textId="77777777" w:rsidR="00DE2DD9" w:rsidRPr="003133AC" w:rsidRDefault="00705A18" w:rsidP="00030F01">
            <w:pPr>
              <w:contextualSpacing/>
              <w:rPr>
                <w:szCs w:val="20"/>
                <w:lang w:val="en-US"/>
              </w:rPr>
            </w:pPr>
            <w:r w:rsidRPr="003133AC">
              <w:rPr>
                <w:szCs w:val="20"/>
                <w:lang w:val="en-US"/>
              </w:rPr>
              <w:t>From c</w:t>
            </w:r>
            <w:r w:rsidR="00DE2DD9" w:rsidRPr="003133AC">
              <w:rPr>
                <w:szCs w:val="20"/>
                <w:lang w:val="en-US"/>
              </w:rPr>
              <w:t>ountry or region</w:t>
            </w:r>
          </w:p>
        </w:tc>
        <w:tc>
          <w:tcPr>
            <w:tcW w:w="6656" w:type="dxa"/>
          </w:tcPr>
          <w:p w14:paraId="69EC3739" w14:textId="6B4D1DF6" w:rsidR="00DE2DD9" w:rsidRPr="003133AC" w:rsidRDefault="00DE2DD9" w:rsidP="00030F01">
            <w:pPr>
              <w:contextualSpacing/>
              <w:rPr>
                <w:i/>
                <w:szCs w:val="20"/>
                <w:lang w:val="en-US"/>
              </w:rPr>
            </w:pPr>
          </w:p>
        </w:tc>
      </w:tr>
      <w:tr w:rsidR="00D75F7C" w:rsidRPr="003133AC" w14:paraId="5E3EC0A2" w14:textId="77777777" w:rsidTr="00576CCC">
        <w:tc>
          <w:tcPr>
            <w:tcW w:w="2972" w:type="dxa"/>
          </w:tcPr>
          <w:p w14:paraId="3738CAE0" w14:textId="77777777" w:rsidR="00D75F7C" w:rsidRPr="003133AC" w:rsidRDefault="00D75F7C" w:rsidP="00030F01">
            <w:pPr>
              <w:contextualSpacing/>
              <w:rPr>
                <w:szCs w:val="20"/>
                <w:lang w:val="en-US"/>
              </w:rPr>
            </w:pPr>
            <w:r w:rsidRPr="003133AC">
              <w:rPr>
                <w:szCs w:val="20"/>
                <w:lang w:val="en-US"/>
              </w:rPr>
              <w:t xml:space="preserve">Preferred field of expertise </w:t>
            </w:r>
          </w:p>
        </w:tc>
        <w:tc>
          <w:tcPr>
            <w:tcW w:w="6656" w:type="dxa"/>
          </w:tcPr>
          <w:p w14:paraId="18CBD1DD" w14:textId="19046723" w:rsidR="00D75F7C" w:rsidRPr="003133AC" w:rsidRDefault="00D75F7C" w:rsidP="00030F01">
            <w:pPr>
              <w:contextualSpacing/>
              <w:rPr>
                <w:iCs/>
                <w:szCs w:val="20"/>
                <w:lang w:val="en-US"/>
              </w:rPr>
            </w:pPr>
            <w:r w:rsidRPr="003133AC">
              <w:rPr>
                <w:iCs/>
                <w:szCs w:val="20"/>
                <w:lang w:val="en-US"/>
              </w:rPr>
              <w:t>Music, visual arts, contemporary arts, cultural heritage, arts and technology</w:t>
            </w:r>
          </w:p>
        </w:tc>
      </w:tr>
      <w:tr w:rsidR="006A2FE9" w:rsidRPr="003133AC" w14:paraId="639C227A" w14:textId="77777777" w:rsidTr="00576CCC">
        <w:tc>
          <w:tcPr>
            <w:tcW w:w="2972" w:type="dxa"/>
          </w:tcPr>
          <w:p w14:paraId="2870ED48" w14:textId="77777777" w:rsidR="006A2FE9" w:rsidRPr="003133AC" w:rsidRDefault="006A2FE9" w:rsidP="00030F01">
            <w:pPr>
              <w:contextualSpacing/>
              <w:rPr>
                <w:szCs w:val="20"/>
                <w:lang w:val="en-US"/>
              </w:rPr>
            </w:pPr>
            <w:r w:rsidRPr="003133AC">
              <w:rPr>
                <w:szCs w:val="20"/>
                <w:lang w:val="en-US"/>
              </w:rPr>
              <w:t>Please get in contact no later than</w:t>
            </w:r>
          </w:p>
        </w:tc>
        <w:tc>
          <w:tcPr>
            <w:tcW w:w="6656" w:type="dxa"/>
          </w:tcPr>
          <w:p w14:paraId="0F4BA240" w14:textId="43BD1298" w:rsidR="006A2FE9" w:rsidRPr="003133AC" w:rsidRDefault="006A2FE9" w:rsidP="00030F01">
            <w:pPr>
              <w:contextualSpacing/>
              <w:rPr>
                <w:iCs/>
                <w:szCs w:val="20"/>
                <w:lang w:val="en-US"/>
              </w:rPr>
            </w:pPr>
          </w:p>
        </w:tc>
      </w:tr>
    </w:tbl>
    <w:p w14:paraId="77E3891E" w14:textId="77777777" w:rsidR="00DE2DD9" w:rsidRPr="003133AC" w:rsidRDefault="00DE2DD9" w:rsidP="00030F01">
      <w:pPr>
        <w:pStyle w:val="Heading2"/>
        <w:spacing w:before="0" w:line="240" w:lineRule="auto"/>
        <w:contextualSpacing/>
        <w:rPr>
          <w:szCs w:val="20"/>
          <w:lang w:val="en-US"/>
        </w:rPr>
      </w:pPr>
    </w:p>
    <w:p w14:paraId="6F104C31" w14:textId="77777777" w:rsidR="00DE2DD9" w:rsidRPr="003133AC" w:rsidRDefault="00542A74" w:rsidP="00030F01">
      <w:pPr>
        <w:pStyle w:val="Heading2"/>
        <w:spacing w:before="0" w:line="240" w:lineRule="auto"/>
        <w:contextualSpacing/>
        <w:rPr>
          <w:szCs w:val="20"/>
          <w:lang w:val="en-US"/>
        </w:rPr>
      </w:pPr>
      <w:r w:rsidRPr="003133AC">
        <w:rPr>
          <w:szCs w:val="20"/>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3133AC" w14:paraId="629BFFC4" w14:textId="77777777" w:rsidTr="00576CCC">
        <w:tc>
          <w:tcPr>
            <w:tcW w:w="2972" w:type="dxa"/>
          </w:tcPr>
          <w:p w14:paraId="5F47DD39" w14:textId="77777777" w:rsidR="00542A74" w:rsidRPr="003133AC" w:rsidRDefault="00542A74" w:rsidP="00030F01">
            <w:pPr>
              <w:contextualSpacing/>
              <w:rPr>
                <w:szCs w:val="20"/>
                <w:lang w:val="en-US"/>
              </w:rPr>
            </w:pPr>
            <w:r w:rsidRPr="003133AC">
              <w:rPr>
                <w:szCs w:val="20"/>
                <w:lang w:val="en-US"/>
              </w:rPr>
              <w:t>Yes / no</w:t>
            </w:r>
          </w:p>
        </w:tc>
        <w:tc>
          <w:tcPr>
            <w:tcW w:w="6656" w:type="dxa"/>
          </w:tcPr>
          <w:p w14:paraId="62FEC36C" w14:textId="40B1D306" w:rsidR="00542A74" w:rsidRPr="003133AC" w:rsidRDefault="00D75F7C" w:rsidP="00030F01">
            <w:pPr>
              <w:contextualSpacing/>
              <w:rPr>
                <w:szCs w:val="20"/>
                <w:lang w:val="en-US"/>
              </w:rPr>
            </w:pPr>
            <w:r w:rsidRPr="003133AC">
              <w:rPr>
                <w:szCs w:val="20"/>
                <w:lang w:val="en-US"/>
              </w:rPr>
              <w:t>Yes</w:t>
            </w:r>
          </w:p>
        </w:tc>
      </w:tr>
      <w:tr w:rsidR="00542A74" w:rsidRPr="003133AC" w14:paraId="1108F9BF" w14:textId="77777777" w:rsidTr="00576CCC">
        <w:tc>
          <w:tcPr>
            <w:tcW w:w="2972" w:type="dxa"/>
          </w:tcPr>
          <w:p w14:paraId="15AFF3DF" w14:textId="77777777" w:rsidR="00542A74" w:rsidRPr="003133AC" w:rsidRDefault="00542A74" w:rsidP="00030F01">
            <w:pPr>
              <w:contextualSpacing/>
              <w:rPr>
                <w:szCs w:val="20"/>
                <w:lang w:val="en-US"/>
              </w:rPr>
            </w:pPr>
            <w:r w:rsidRPr="003133AC">
              <w:rPr>
                <w:szCs w:val="20"/>
                <w:lang w:val="en-US"/>
              </w:rPr>
              <w:t xml:space="preserve">Which kind of projects are you looking for? </w:t>
            </w:r>
          </w:p>
        </w:tc>
        <w:tc>
          <w:tcPr>
            <w:tcW w:w="6656" w:type="dxa"/>
          </w:tcPr>
          <w:p w14:paraId="1A2B7A8C" w14:textId="796F73DE" w:rsidR="00542A74" w:rsidRPr="003133AC" w:rsidRDefault="00D75F7C" w:rsidP="00030F01">
            <w:pPr>
              <w:contextualSpacing/>
              <w:rPr>
                <w:szCs w:val="20"/>
                <w:lang w:val="en-US"/>
              </w:rPr>
            </w:pPr>
            <w:r w:rsidRPr="003133AC">
              <w:rPr>
                <w:szCs w:val="20"/>
                <w:lang w:val="en-US"/>
              </w:rPr>
              <w:t>Area of culture and arts</w:t>
            </w:r>
          </w:p>
        </w:tc>
      </w:tr>
    </w:tbl>
    <w:p w14:paraId="2061C04C" w14:textId="77777777" w:rsidR="00576CCC" w:rsidRPr="003133AC" w:rsidRDefault="00576CCC" w:rsidP="00030F01">
      <w:pPr>
        <w:pStyle w:val="Heading2"/>
        <w:spacing w:before="0" w:line="240" w:lineRule="auto"/>
        <w:contextualSpacing/>
        <w:rPr>
          <w:rFonts w:eastAsiaTheme="minorHAnsi" w:cstheme="minorBidi"/>
          <w:b w:val="0"/>
          <w:szCs w:val="20"/>
          <w:lang w:val="en-US"/>
        </w:rPr>
      </w:pPr>
    </w:p>
    <w:p w14:paraId="611AE804" w14:textId="77777777" w:rsidR="00576CCC" w:rsidRPr="003133AC" w:rsidRDefault="00576CCC" w:rsidP="00030F01">
      <w:pPr>
        <w:pStyle w:val="Heading2"/>
        <w:spacing w:before="0" w:line="240" w:lineRule="auto"/>
        <w:contextualSpacing/>
        <w:rPr>
          <w:szCs w:val="20"/>
          <w:lang w:val="en-US"/>
        </w:rPr>
      </w:pPr>
      <w:r w:rsidRPr="003133AC">
        <w:rPr>
          <w:szCs w:val="20"/>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rsidRPr="003133AC" w14:paraId="6C3D6CDA" w14:textId="77777777" w:rsidTr="00576CCC">
        <w:tc>
          <w:tcPr>
            <w:tcW w:w="2972" w:type="dxa"/>
          </w:tcPr>
          <w:p w14:paraId="6043DB6F" w14:textId="58A07C5C" w:rsidR="00576CCC" w:rsidRPr="003133AC" w:rsidRDefault="00576CCC" w:rsidP="00030F01">
            <w:pPr>
              <w:contextualSpacing/>
              <w:rPr>
                <w:szCs w:val="20"/>
                <w:lang w:val="en-US"/>
              </w:rPr>
            </w:pPr>
            <w:r w:rsidRPr="003133AC">
              <w:rPr>
                <w:szCs w:val="20"/>
                <w:lang w:val="en-US"/>
              </w:rPr>
              <w:t xml:space="preserve">This </w:t>
            </w:r>
            <w:r w:rsidR="00D87A47" w:rsidRPr="003133AC">
              <w:rPr>
                <w:szCs w:val="20"/>
                <w:lang w:val="en-US"/>
              </w:rPr>
              <w:t>partner search can be published?</w:t>
            </w:r>
          </w:p>
        </w:tc>
        <w:tc>
          <w:tcPr>
            <w:tcW w:w="6656" w:type="dxa"/>
          </w:tcPr>
          <w:p w14:paraId="26462670" w14:textId="0C525424" w:rsidR="00576CCC" w:rsidRPr="003133AC" w:rsidRDefault="00576CCC" w:rsidP="00030F01">
            <w:pPr>
              <w:contextualSpacing/>
              <w:rPr>
                <w:i/>
                <w:szCs w:val="20"/>
                <w:lang w:val="en-US"/>
              </w:rPr>
            </w:pPr>
            <w:r w:rsidRPr="003133AC">
              <w:rPr>
                <w:iCs/>
                <w:szCs w:val="20"/>
                <w:lang w:val="en-US"/>
              </w:rPr>
              <w:t>Yes</w:t>
            </w:r>
            <w:r w:rsidRPr="003133AC">
              <w:rPr>
                <w:i/>
                <w:szCs w:val="20"/>
                <w:lang w:val="en-US"/>
              </w:rPr>
              <w:t xml:space="preserve"> </w:t>
            </w:r>
          </w:p>
        </w:tc>
      </w:tr>
    </w:tbl>
    <w:p w14:paraId="0B85E30E" w14:textId="77777777" w:rsidR="006A2FE9" w:rsidRPr="003133AC" w:rsidRDefault="006A2FE9" w:rsidP="00030F01">
      <w:pPr>
        <w:spacing w:after="0" w:line="240" w:lineRule="auto"/>
        <w:contextualSpacing/>
        <w:rPr>
          <w:szCs w:val="20"/>
          <w:lang w:val="en-US"/>
        </w:rPr>
      </w:pPr>
    </w:p>
    <w:sectPr w:rsidR="006A2FE9" w:rsidRPr="003133AC"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47A6" w14:textId="77777777" w:rsidR="00D70518" w:rsidRDefault="00D70518" w:rsidP="00473C16">
      <w:pPr>
        <w:spacing w:after="0" w:line="240" w:lineRule="auto"/>
      </w:pPr>
      <w:r>
        <w:separator/>
      </w:r>
    </w:p>
  </w:endnote>
  <w:endnote w:type="continuationSeparator" w:id="0">
    <w:p w14:paraId="1B22CD58" w14:textId="77777777" w:rsidR="00D70518" w:rsidRDefault="00D7051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B83F"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E1A1" w14:textId="77777777" w:rsidR="00D70518" w:rsidRDefault="00D70518" w:rsidP="00473C16">
      <w:pPr>
        <w:spacing w:after="0" w:line="240" w:lineRule="auto"/>
      </w:pPr>
      <w:r>
        <w:separator/>
      </w:r>
    </w:p>
  </w:footnote>
  <w:footnote w:type="continuationSeparator" w:id="0">
    <w:p w14:paraId="60D5D17C" w14:textId="77777777" w:rsidR="00D70518" w:rsidRDefault="00D70518"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5392"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33F9" w14:textId="2AB47F3D" w:rsidR="00074415" w:rsidRDefault="00074415">
    <w:pPr>
      <w:pStyle w:val="Header"/>
    </w:pPr>
    <w:r w:rsidRPr="00473C16">
      <w:rPr>
        <w:noProof/>
        <w:lang w:eastAsia="da-DK"/>
      </w:rPr>
      <w:drawing>
        <wp:inline distT="0" distB="0" distL="0" distR="0" wp14:anchorId="061BCC6A" wp14:editId="737DACBC">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75F7C">
      <w:rPr>
        <w:lang w:val="en-US"/>
      </w:rPr>
      <w:t>01/12/2020</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E122AD"/>
    <w:multiLevelType w:val="multilevel"/>
    <w:tmpl w:val="13CC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30F01"/>
    <w:rsid w:val="000630A2"/>
    <w:rsid w:val="00074415"/>
    <w:rsid w:val="00080A4D"/>
    <w:rsid w:val="00143B66"/>
    <w:rsid w:val="0016681C"/>
    <w:rsid w:val="00212FFF"/>
    <w:rsid w:val="003133AC"/>
    <w:rsid w:val="003568D4"/>
    <w:rsid w:val="003920AD"/>
    <w:rsid w:val="00473C16"/>
    <w:rsid w:val="004C21B9"/>
    <w:rsid w:val="00501853"/>
    <w:rsid w:val="00542A74"/>
    <w:rsid w:val="00576CCC"/>
    <w:rsid w:val="005E71D9"/>
    <w:rsid w:val="005F4A3F"/>
    <w:rsid w:val="006126C1"/>
    <w:rsid w:val="006A2FE9"/>
    <w:rsid w:val="00705A18"/>
    <w:rsid w:val="00733285"/>
    <w:rsid w:val="007A4367"/>
    <w:rsid w:val="008A1B2E"/>
    <w:rsid w:val="008F47DE"/>
    <w:rsid w:val="009618EB"/>
    <w:rsid w:val="00967A04"/>
    <w:rsid w:val="00A515EB"/>
    <w:rsid w:val="00AC2B8C"/>
    <w:rsid w:val="00C36FAB"/>
    <w:rsid w:val="00C91437"/>
    <w:rsid w:val="00CB7442"/>
    <w:rsid w:val="00D066B1"/>
    <w:rsid w:val="00D70518"/>
    <w:rsid w:val="00D75F7C"/>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636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D75F7C"/>
    <w:rPr>
      <w:color w:val="605E5C"/>
      <w:shd w:val="clear" w:color="auto" w:fill="E1DFDD"/>
    </w:rPr>
  </w:style>
  <w:style w:type="character" w:customStyle="1" w:styleId="apple-converted-space">
    <w:name w:val="apple-converted-space"/>
    <w:basedOn w:val="DefaultParagraphFont"/>
    <w:rsid w:val="0031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intere@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a.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read.usarb.md:8888/tinread/fulltext/pasca/educatie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tepress.org/PublicationsDetail.aspx?ID=ZviUvMDGMek=&amp;t=1" TargetMode="External"/><Relationship Id="rId4" Type="http://schemas.openxmlformats.org/officeDocument/2006/relationships/webSettings" Target="webSettings.xml"/><Relationship Id="rId9" Type="http://schemas.openxmlformats.org/officeDocument/2006/relationships/hyperlink" Target="http://journals.ru.lv/index.php/SIE/article/view/3674/386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5409</Words>
  <Characters>3084</Characters>
  <Application>Microsoft Office Word</Application>
  <DocSecurity>0</DocSecurity>
  <Lines>25</Lines>
  <Paragraphs>16</Paragraphs>
  <ScaleCrop>false</ScaleCrop>
  <HeadingPairs>
    <vt:vector size="2" baseType="variant">
      <vt:variant>
        <vt:lpstr>Titel</vt:lpstr>
      </vt:variant>
      <vt:variant>
        <vt:i4>1</vt:i4>
      </vt:variant>
    </vt:vector>
  </HeadingPairs>
  <TitlesOfParts>
    <vt:vector size="1" baseType="lpstr">
      <vt:lpstr>Partner search form for Creative Europe project applications</vt:lpstr>
    </vt:vector>
  </TitlesOfParts>
  <Company>Statens It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Ieva Gintere</cp:lastModifiedBy>
  <cp:revision>23</cp:revision>
  <dcterms:created xsi:type="dcterms:W3CDTF">2020-01-13T11:34:00Z</dcterms:created>
  <dcterms:modified xsi:type="dcterms:W3CDTF">2020-12-03T13:31:00Z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